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spacing w:line="500" w:lineRule="exact"/>
        <w:jc w:val="center"/>
        <w:outlineLvl w:val="0"/>
        <w:rPr>
          <w:rFonts w:hint="eastAsia" w:ascii="方正小标宋简体" w:hAnsi="方正小标宋简体" w:eastAsia="方正小标宋简体" w:cs="方正小标宋简体"/>
          <w:b w:val="0"/>
          <w:bCs w:val="0"/>
          <w:sz w:val="44"/>
          <w:szCs w:val="44"/>
          <w:u w:val="none"/>
        </w:rPr>
      </w:pPr>
    </w:p>
    <w:p>
      <w:pPr>
        <w:keepNext w:val="0"/>
        <w:keepLines w:val="0"/>
        <w:pageBreakBefore w:val="0"/>
        <w:kinsoku/>
        <w:wordWrap/>
        <w:overflowPunct/>
        <w:topLinePunct w:val="0"/>
        <w:autoSpaceDE/>
        <w:autoSpaceDN/>
        <w:bidi w:val="0"/>
        <w:spacing w:line="500" w:lineRule="exact"/>
        <w:jc w:val="center"/>
        <w:outlineLvl w:val="0"/>
        <w:rPr>
          <w:rFonts w:hint="eastAsia" w:ascii="方正小标宋简体" w:hAnsi="方正小标宋简体" w:eastAsia="方正小标宋简体" w:cs="方正小标宋简体"/>
          <w:b w:val="0"/>
          <w:bCs w:val="0"/>
          <w:sz w:val="44"/>
          <w:szCs w:val="44"/>
          <w:u w:val="none"/>
        </w:rPr>
      </w:pPr>
    </w:p>
    <w:p>
      <w:pPr>
        <w:keepNext w:val="0"/>
        <w:keepLines w:val="0"/>
        <w:pageBreakBefore w:val="0"/>
        <w:kinsoku/>
        <w:wordWrap/>
        <w:overflowPunct/>
        <w:topLinePunct w:val="0"/>
        <w:autoSpaceDE/>
        <w:autoSpaceDN/>
        <w:bidi w:val="0"/>
        <w:spacing w:line="500" w:lineRule="exact"/>
        <w:jc w:val="center"/>
        <w:outlineLvl w:val="0"/>
        <w:rPr>
          <w:rFonts w:ascii="方正小标宋简体" w:hAnsi="方正小标宋简体" w:eastAsia="方正小标宋简体" w:cs="方正小标宋简体"/>
          <w:b w:val="0"/>
          <w:bCs w:val="0"/>
          <w:sz w:val="44"/>
          <w:szCs w:val="44"/>
          <w:u w:val="none"/>
        </w:rPr>
      </w:pPr>
      <w:r>
        <w:rPr>
          <w:rFonts w:hint="eastAsia" w:ascii="方正小标宋简体" w:hAnsi="方正小标宋简体" w:eastAsia="方正小标宋简体" w:cs="方正小标宋简体"/>
          <w:b w:val="0"/>
          <w:bCs w:val="0"/>
          <w:sz w:val="44"/>
          <w:szCs w:val="44"/>
          <w:u w:val="none"/>
        </w:rPr>
        <w:t>吉安开放大学2021年度发展报告</w:t>
      </w:r>
    </w:p>
    <w:p>
      <w:pPr>
        <w:keepNext w:val="0"/>
        <w:keepLines w:val="0"/>
        <w:pageBreakBefore w:val="0"/>
        <w:kinsoku/>
        <w:wordWrap/>
        <w:overflowPunct/>
        <w:topLinePunct w:val="0"/>
        <w:autoSpaceDE/>
        <w:autoSpaceDN/>
        <w:bidi w:val="0"/>
        <w:snapToGrid w:val="0"/>
        <w:spacing w:line="500" w:lineRule="exact"/>
        <w:ind w:firstLine="640" w:firstLineChars="200"/>
        <w:rPr>
          <w:rFonts w:ascii="黑体" w:hAnsi="黑体" w:eastAsia="黑体" w:cs="黑体"/>
          <w:b w:val="0"/>
          <w:bCs w:val="0"/>
          <w:sz w:val="32"/>
          <w:szCs w:val="32"/>
          <w:u w:val="none"/>
        </w:rPr>
      </w:pPr>
    </w:p>
    <w:p>
      <w:pPr>
        <w:keepNext w:val="0"/>
        <w:keepLines w:val="0"/>
        <w:pageBreakBefore w:val="0"/>
        <w:numPr>
          <w:ilvl w:val="0"/>
          <w:numId w:val="1"/>
        </w:numPr>
        <w:kinsoku/>
        <w:wordWrap/>
        <w:overflowPunct/>
        <w:topLinePunct w:val="0"/>
        <w:autoSpaceDE/>
        <w:autoSpaceDN/>
        <w:bidi w:val="0"/>
        <w:spacing w:line="500" w:lineRule="exact"/>
        <w:ind w:firstLine="640" w:firstLineChars="200"/>
        <w:jc w:val="both"/>
        <w:outlineLvl w:val="0"/>
        <w:rPr>
          <w:rFonts w:ascii="黑体" w:hAnsi="黑体" w:eastAsia="黑体" w:cs="黑体"/>
          <w:b w:val="0"/>
          <w:bCs w:val="0"/>
          <w:sz w:val="32"/>
          <w:szCs w:val="32"/>
          <w:u w:val="none"/>
        </w:rPr>
      </w:pPr>
      <w:bookmarkStart w:id="0" w:name="_Toc40173461"/>
      <w:r>
        <w:rPr>
          <w:rFonts w:hint="eastAsia" w:ascii="黑体" w:hAnsi="黑体" w:eastAsia="黑体" w:cs="黑体"/>
          <w:b w:val="0"/>
          <w:bCs w:val="0"/>
          <w:sz w:val="32"/>
          <w:szCs w:val="32"/>
          <w:u w:val="none"/>
        </w:rPr>
        <w:t>省校重点工作推进情况</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一是高质量开展党史学习教育。在上级党委部署下，紧紧围绕“学党史、悟思想、办实事、开新局”主题，坚持高起点谋划、高标准推进，广泛开展专题宣讲，持续用好红色资源，深入推进“我为群众办实事”，不断推动党史学习教育走深、走心、走实。</w:t>
      </w:r>
    </w:p>
    <w:p>
      <w:pPr>
        <w:keepNext w:val="0"/>
        <w:keepLines w:val="0"/>
        <w:pageBreakBefore w:val="0"/>
        <w:kinsoku/>
        <w:wordWrap/>
        <w:overflowPunct/>
        <w:topLinePunct w:val="0"/>
        <w:autoSpaceDE/>
        <w:autoSpaceDN/>
        <w:bidi w:val="0"/>
        <w:spacing w:line="500" w:lineRule="exact"/>
        <w:ind w:firstLine="640" w:firstLineChars="200"/>
        <w:jc w:val="both"/>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二是扎实推进师德师风建设。通过组织师德应知测试、教工党史竞赛、“作示范 勇争先”、向全国教师楷模王红旭学习等系列活动，提升了教职工政治素养和职业道德水平，教师无师德失范行为。</w:t>
      </w:r>
    </w:p>
    <w:p>
      <w:pPr>
        <w:pStyle w:val="14"/>
        <w:keepNext w:val="0"/>
        <w:keepLines w:val="0"/>
        <w:pageBreakBefore w:val="0"/>
        <w:kinsoku/>
        <w:wordWrap/>
        <w:overflowPunct/>
        <w:topLinePunct w:val="0"/>
        <w:autoSpaceDE/>
        <w:autoSpaceDN/>
        <w:bidi w:val="0"/>
        <w:snapToGrid w:val="0"/>
        <w:spacing w:after="0" w:line="500" w:lineRule="exact"/>
        <w:ind w:firstLine="640" w:firstLineChars="200"/>
        <w:jc w:val="both"/>
        <w:textAlignment w:val="baseline"/>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三是精心组织参加“互联网+”大学生创新创业大赛</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并</w:t>
      </w:r>
      <w:r>
        <w:rPr>
          <w:rFonts w:hint="eastAsia" w:ascii="仿宋" w:hAnsi="仿宋" w:eastAsia="仿宋" w:cs="仿宋"/>
          <w:b w:val="0"/>
          <w:bCs w:val="0"/>
          <w:kern w:val="0"/>
          <w:sz w:val="32"/>
          <w:szCs w:val="32"/>
          <w:u w:val="none"/>
        </w:rPr>
        <w:t>分别荣获省校二等奖和优秀奖</w:t>
      </w:r>
      <w:r>
        <w:rPr>
          <w:rFonts w:hint="eastAsia" w:ascii="仿宋" w:hAnsi="仿宋" w:eastAsia="仿宋" w:cs="仿宋"/>
          <w:b w:val="0"/>
          <w:bCs w:val="0"/>
          <w:kern w:val="0"/>
          <w:sz w:val="32"/>
          <w:szCs w:val="32"/>
          <w:u w:val="none"/>
          <w:lang w:eastAsia="zh-CN"/>
        </w:rPr>
        <w:t>，</w:t>
      </w:r>
      <w:r>
        <w:rPr>
          <w:rFonts w:hint="eastAsia" w:ascii="仿宋" w:hAnsi="仿宋" w:eastAsia="仿宋" w:cs="仿宋"/>
          <w:b w:val="0"/>
          <w:bCs w:val="0"/>
          <w:kern w:val="0"/>
          <w:sz w:val="32"/>
          <w:szCs w:val="32"/>
          <w:u w:val="none"/>
        </w:rPr>
        <w:t>学校获组织奖</w:t>
      </w:r>
      <w:r>
        <w:rPr>
          <w:rFonts w:hint="eastAsia" w:ascii="仿宋" w:hAnsi="仿宋" w:eastAsia="仿宋" w:cs="仿宋"/>
          <w:b w:val="0"/>
          <w:bCs w:val="0"/>
          <w:sz w:val="32"/>
          <w:szCs w:val="32"/>
          <w:u w:val="none"/>
        </w:rPr>
        <w:t>。</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四是持续推进了开放教育质量提升综合治理工程向纵深发展。通过完善制度、构建教学质量保障体系，加强督导督查、从严“三治”等手段，多维度全面推进开放教育创优提质综合治理工程落地落实。</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五是积极推进市县级广播电视大学更名工作</w:t>
      </w:r>
      <w:r>
        <w:rPr>
          <w:rFonts w:hint="eastAsia" w:ascii="仿宋" w:hAnsi="仿宋" w:eastAsia="仿宋" w:cs="仿宋"/>
          <w:b w:val="0"/>
          <w:bCs w:val="0"/>
          <w:sz w:val="32"/>
          <w:szCs w:val="32"/>
          <w:u w:val="none"/>
          <w:lang w:eastAsia="zh-CN"/>
        </w:rPr>
        <w:t>，市校与</w:t>
      </w:r>
      <w:r>
        <w:rPr>
          <w:rFonts w:hint="eastAsia" w:ascii="仿宋" w:hAnsi="仿宋" w:eastAsia="仿宋" w:cs="仿宋"/>
          <w:b w:val="0"/>
          <w:bCs w:val="0"/>
          <w:sz w:val="32"/>
          <w:szCs w:val="32"/>
          <w:u w:val="none"/>
        </w:rPr>
        <w:t>9个县级</w:t>
      </w:r>
      <w:r>
        <w:rPr>
          <w:rFonts w:hint="eastAsia" w:ascii="仿宋" w:hAnsi="仿宋" w:eastAsia="仿宋" w:cs="仿宋"/>
          <w:b w:val="0"/>
          <w:bCs w:val="0"/>
          <w:sz w:val="32"/>
          <w:szCs w:val="32"/>
          <w:u w:val="none"/>
          <w:lang w:eastAsia="zh-CN"/>
        </w:rPr>
        <w:t>电大均在</w:t>
      </w:r>
      <w:r>
        <w:rPr>
          <w:rFonts w:hint="eastAsia" w:ascii="仿宋" w:hAnsi="仿宋" w:eastAsia="仿宋" w:cs="仿宋"/>
          <w:b w:val="0"/>
          <w:bCs w:val="0"/>
          <w:sz w:val="32"/>
          <w:szCs w:val="32"/>
          <w:u w:val="none"/>
          <w:lang w:val="en-US" w:eastAsia="zh-CN"/>
        </w:rPr>
        <w:t>2021年9月完成更名</w:t>
      </w:r>
      <w:r>
        <w:rPr>
          <w:rFonts w:hint="eastAsia" w:ascii="仿宋" w:hAnsi="仿宋" w:eastAsia="仿宋" w:cs="仿宋"/>
          <w:b w:val="0"/>
          <w:bCs w:val="0"/>
          <w:sz w:val="32"/>
          <w:szCs w:val="32"/>
          <w:u w:val="none"/>
        </w:rPr>
        <w:t>。</w:t>
      </w:r>
    </w:p>
    <w:p>
      <w:pPr>
        <w:keepNext w:val="0"/>
        <w:keepLines w:val="0"/>
        <w:pageBreakBefore w:val="0"/>
        <w:numPr>
          <w:ilvl w:val="0"/>
          <w:numId w:val="1"/>
        </w:numPr>
        <w:kinsoku/>
        <w:wordWrap/>
        <w:overflowPunct/>
        <w:topLinePunct w:val="0"/>
        <w:autoSpaceDE/>
        <w:autoSpaceDN/>
        <w:bidi w:val="0"/>
        <w:spacing w:line="500" w:lineRule="exact"/>
        <w:ind w:firstLine="640" w:firstLineChars="200"/>
        <w:jc w:val="both"/>
        <w:outlineLvl w:val="0"/>
        <w:rPr>
          <w:rFonts w:ascii="黑体" w:hAnsi="黑体" w:eastAsia="黑体" w:cs="黑体"/>
          <w:b w:val="0"/>
          <w:bCs w:val="0"/>
          <w:kern w:val="0"/>
          <w:sz w:val="32"/>
          <w:szCs w:val="32"/>
          <w:u w:val="none"/>
        </w:rPr>
      </w:pPr>
      <w:r>
        <w:rPr>
          <w:rFonts w:hint="eastAsia" w:ascii="黑体" w:hAnsi="黑体" w:eastAsia="黑体" w:cs="黑体"/>
          <w:b w:val="0"/>
          <w:bCs w:val="0"/>
          <w:sz w:val="32"/>
          <w:szCs w:val="32"/>
          <w:u w:val="none"/>
        </w:rPr>
        <w:t>人才培养</w:t>
      </w:r>
      <w:bookmarkEnd w:id="0"/>
      <w:r>
        <w:rPr>
          <w:rFonts w:hint="eastAsia" w:ascii="黑体" w:hAnsi="黑体" w:eastAsia="黑体" w:cs="黑体"/>
          <w:b w:val="0"/>
          <w:bCs w:val="0"/>
          <w:kern w:val="0"/>
          <w:sz w:val="32"/>
          <w:szCs w:val="32"/>
          <w:u w:val="none"/>
        </w:rPr>
        <w:t xml:space="preserve">  </w:t>
      </w:r>
    </w:p>
    <w:p>
      <w:pPr>
        <w:keepNext w:val="0"/>
        <w:keepLines w:val="0"/>
        <w:pageBreakBefore w:val="0"/>
        <w:kinsoku/>
        <w:wordWrap/>
        <w:overflowPunct/>
        <w:topLinePunct w:val="0"/>
        <w:autoSpaceDE/>
        <w:autoSpaceDN/>
        <w:bidi w:val="0"/>
        <w:adjustRightInd w:val="0"/>
        <w:snapToGrid w:val="0"/>
        <w:spacing w:line="500" w:lineRule="exact"/>
        <w:ind w:firstLine="640" w:firstLineChars="200"/>
        <w:jc w:val="both"/>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（一）学历教育整体培养情况</w:t>
      </w:r>
    </w:p>
    <w:p>
      <w:pPr>
        <w:keepNext w:val="0"/>
        <w:keepLines w:val="0"/>
        <w:pageBreakBefore w:val="0"/>
        <w:kinsoku/>
        <w:wordWrap/>
        <w:overflowPunct/>
        <w:topLinePunct w:val="0"/>
        <w:autoSpaceDE/>
        <w:autoSpaceDN/>
        <w:bidi w:val="0"/>
        <w:adjustRightInd w:val="0"/>
        <w:snapToGrid w:val="0"/>
        <w:spacing w:line="500" w:lineRule="exact"/>
        <w:ind w:firstLine="640" w:firstLineChars="200"/>
        <w:jc w:val="both"/>
        <w:outlineLvl w:val="1"/>
        <w:rPr>
          <w:rFonts w:ascii="仿宋" w:hAnsi="仿宋" w:eastAsia="仿宋" w:cs="仿宋"/>
          <w:b w:val="0"/>
          <w:bCs w:val="0"/>
          <w:sz w:val="32"/>
          <w:szCs w:val="32"/>
          <w:u w:val="none"/>
        </w:rPr>
      </w:pPr>
      <w:r>
        <w:rPr>
          <w:rFonts w:hint="eastAsia" w:ascii="仿宋" w:hAnsi="仿宋" w:eastAsia="仿宋" w:cs="仿宋"/>
          <w:b w:val="0"/>
          <w:bCs w:val="0"/>
          <w:sz w:val="32"/>
          <w:szCs w:val="32"/>
          <w:u w:val="none"/>
        </w:rPr>
        <w:t>2021年度各类在籍（校）生13725人，同比增加4.6%；培养各类毕业生共2747人，同比增加87.9%。</w:t>
      </w:r>
    </w:p>
    <w:p>
      <w:pPr>
        <w:keepNext w:val="0"/>
        <w:keepLines w:val="0"/>
        <w:pageBreakBefore w:val="0"/>
        <w:kinsoku/>
        <w:wordWrap/>
        <w:overflowPunct/>
        <w:topLinePunct w:val="0"/>
        <w:autoSpaceDE/>
        <w:autoSpaceDN/>
        <w:bidi w:val="0"/>
        <w:spacing w:line="500" w:lineRule="exact"/>
        <w:ind w:firstLine="640" w:firstLineChars="200"/>
        <w:jc w:val="both"/>
        <w:outlineLvl w:val="2"/>
        <w:rPr>
          <w:rFonts w:ascii="仿宋" w:hAnsi="仿宋" w:eastAsia="仿宋" w:cs="仿宋"/>
          <w:b w:val="0"/>
          <w:bCs w:val="0"/>
          <w:sz w:val="32"/>
          <w:szCs w:val="32"/>
          <w:u w:val="none"/>
        </w:rPr>
      </w:pPr>
      <w:r>
        <w:rPr>
          <w:rFonts w:hint="eastAsia" w:ascii="仿宋" w:hAnsi="仿宋" w:eastAsia="仿宋" w:cs="仿宋"/>
          <w:b w:val="0"/>
          <w:bCs w:val="0"/>
          <w:sz w:val="32"/>
          <w:szCs w:val="32"/>
          <w:u w:val="none"/>
        </w:rPr>
        <w:t>1.</w:t>
      </w:r>
      <w:r>
        <w:rPr>
          <w:rFonts w:hint="eastAsia" w:ascii="仿宋" w:hAnsi="仿宋" w:eastAsia="仿宋" w:cs="仿宋"/>
          <w:b w:val="0"/>
          <w:bCs w:val="0"/>
          <w:sz w:val="32"/>
          <w:szCs w:val="32"/>
          <w:u w:val="none"/>
          <w:lang w:val="en-US" w:eastAsia="zh-CN"/>
        </w:rPr>
        <w:t>开放</w:t>
      </w:r>
      <w:r>
        <w:rPr>
          <w:rFonts w:hint="eastAsia" w:ascii="仿宋" w:hAnsi="仿宋" w:eastAsia="仿宋" w:cs="仿宋"/>
          <w:b w:val="0"/>
          <w:bCs w:val="0"/>
          <w:sz w:val="32"/>
          <w:szCs w:val="32"/>
          <w:u w:val="none"/>
        </w:rPr>
        <w:t>教育</w:t>
      </w:r>
    </w:p>
    <w:p>
      <w:pPr>
        <w:keepNext w:val="0"/>
        <w:keepLines w:val="0"/>
        <w:pageBreakBefore w:val="0"/>
        <w:widowControl w:val="0"/>
        <w:shd w:val="clear" w:color="auto" w:fill="FFFFFF" w:themeFill="background1"/>
        <w:kinsoku/>
        <w:wordWrap/>
        <w:overflowPunct/>
        <w:topLinePunct w:val="0"/>
        <w:autoSpaceDE/>
        <w:autoSpaceDN/>
        <w:bidi w:val="0"/>
        <w:adjustRightInd/>
        <w:snapToGri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2021年度共有</w:t>
      </w:r>
      <w:r>
        <w:rPr>
          <w:rFonts w:hint="eastAsia" w:ascii="仿宋" w:hAnsi="仿宋" w:eastAsia="仿宋" w:cs="仿宋"/>
          <w:b w:val="0"/>
          <w:bCs w:val="0"/>
          <w:sz w:val="32"/>
          <w:szCs w:val="32"/>
          <w:u w:val="none"/>
          <w:lang w:val="en-US" w:eastAsia="zh-CN"/>
        </w:rPr>
        <w:t>开放</w:t>
      </w:r>
      <w:r>
        <w:rPr>
          <w:rFonts w:hint="eastAsia" w:ascii="仿宋" w:hAnsi="仿宋" w:eastAsia="仿宋" w:cs="仿宋"/>
          <w:b w:val="0"/>
          <w:bCs w:val="0"/>
          <w:sz w:val="32"/>
          <w:szCs w:val="32"/>
          <w:u w:val="none"/>
        </w:rPr>
        <w:t>教育在籍生12</w:t>
      </w:r>
      <w:r>
        <w:rPr>
          <w:rFonts w:hint="eastAsia" w:ascii="仿宋" w:hAnsi="仿宋" w:eastAsia="仿宋" w:cs="仿宋"/>
          <w:b w:val="0"/>
          <w:bCs w:val="0"/>
          <w:sz w:val="32"/>
          <w:szCs w:val="32"/>
          <w:u w:val="none"/>
          <w:lang w:val="en-US" w:eastAsia="zh-CN"/>
        </w:rPr>
        <w:t>209</w:t>
      </w:r>
      <w:r>
        <w:rPr>
          <w:rFonts w:hint="eastAsia" w:ascii="仿宋" w:hAnsi="仿宋" w:eastAsia="仿宋" w:cs="仿宋"/>
          <w:b w:val="0"/>
          <w:bCs w:val="0"/>
          <w:sz w:val="32"/>
          <w:szCs w:val="32"/>
          <w:u w:val="none"/>
        </w:rPr>
        <w:t>人，同比</w:t>
      </w:r>
      <w:r>
        <w:rPr>
          <w:rFonts w:hint="eastAsia" w:ascii="仿宋" w:hAnsi="仿宋" w:eastAsia="仿宋" w:cs="仿宋"/>
          <w:b w:val="0"/>
          <w:bCs w:val="0"/>
          <w:sz w:val="32"/>
          <w:szCs w:val="32"/>
          <w:u w:val="none"/>
          <w:lang w:val="en-US" w:eastAsia="zh-CN"/>
        </w:rPr>
        <w:t>减少0.87</w:t>
      </w:r>
      <w:r>
        <w:rPr>
          <w:rFonts w:hint="eastAsia" w:ascii="仿宋" w:hAnsi="仿宋" w:eastAsia="仿宋" w:cs="仿宋"/>
          <w:b w:val="0"/>
          <w:bCs w:val="0"/>
          <w:sz w:val="32"/>
          <w:szCs w:val="32"/>
          <w:u w:val="none"/>
        </w:rPr>
        <w:t>%。其中，本科854人，占比</w:t>
      </w:r>
      <w:r>
        <w:rPr>
          <w:rFonts w:hint="eastAsia" w:ascii="仿宋" w:hAnsi="仿宋" w:eastAsia="仿宋" w:cs="仿宋"/>
          <w:b w:val="0"/>
          <w:bCs w:val="0"/>
          <w:sz w:val="32"/>
          <w:szCs w:val="32"/>
          <w:u w:val="none"/>
          <w:lang w:val="en-US" w:eastAsia="zh-CN"/>
        </w:rPr>
        <w:t>7</w:t>
      </w:r>
      <w:r>
        <w:rPr>
          <w:rStyle w:val="15"/>
          <w:rFonts w:hint="eastAsia" w:ascii="仿宋" w:hAnsi="仿宋" w:eastAsia="仿宋" w:cs="仿宋"/>
          <w:b w:val="0"/>
          <w:bCs w:val="0"/>
          <w:sz w:val="32"/>
          <w:szCs w:val="32"/>
          <w:u w:val="none"/>
          <w:shd w:val="clear" w:color="auto" w:fill="FFFFFF"/>
        </w:rPr>
        <w:t>%；</w:t>
      </w:r>
      <w:r>
        <w:rPr>
          <w:rFonts w:hint="eastAsia" w:ascii="仿宋" w:hAnsi="仿宋" w:eastAsia="仿宋" w:cs="仿宋"/>
          <w:b w:val="0"/>
          <w:bCs w:val="0"/>
          <w:sz w:val="32"/>
          <w:szCs w:val="32"/>
          <w:u w:val="none"/>
        </w:rPr>
        <w:t>专科11355人，占比</w:t>
      </w:r>
      <w:r>
        <w:rPr>
          <w:rFonts w:hint="eastAsia" w:ascii="仿宋" w:hAnsi="仿宋" w:eastAsia="仿宋" w:cs="仿宋"/>
          <w:b w:val="0"/>
          <w:bCs w:val="0"/>
          <w:sz w:val="32"/>
          <w:szCs w:val="32"/>
          <w:u w:val="none"/>
          <w:lang w:val="en-US" w:eastAsia="zh-CN"/>
        </w:rPr>
        <w:t>93</w:t>
      </w:r>
      <w:r>
        <w:rPr>
          <w:rStyle w:val="15"/>
          <w:rFonts w:hint="eastAsia" w:ascii="仿宋" w:hAnsi="仿宋" w:eastAsia="仿宋" w:cs="仿宋"/>
          <w:b w:val="0"/>
          <w:bCs w:val="0"/>
          <w:sz w:val="32"/>
          <w:szCs w:val="32"/>
          <w:u w:val="none"/>
          <w:shd w:val="clear" w:color="auto" w:fill="FFFFFF"/>
        </w:rPr>
        <w:t>%</w:t>
      </w:r>
      <w:r>
        <w:rPr>
          <w:rFonts w:hint="eastAsia" w:ascii="仿宋" w:hAnsi="仿宋" w:eastAsia="仿宋" w:cs="仿宋"/>
          <w:b w:val="0"/>
          <w:bCs w:val="0"/>
          <w:sz w:val="32"/>
          <w:szCs w:val="32"/>
          <w:u w:val="none"/>
        </w:rPr>
        <w:t>。2021年度共培养</w:t>
      </w:r>
      <w:r>
        <w:rPr>
          <w:rFonts w:hint="eastAsia" w:ascii="仿宋" w:hAnsi="仿宋" w:eastAsia="仿宋" w:cs="仿宋"/>
          <w:b w:val="0"/>
          <w:bCs w:val="0"/>
          <w:sz w:val="32"/>
          <w:szCs w:val="32"/>
          <w:u w:val="none"/>
          <w:lang w:val="en-US" w:eastAsia="zh-CN"/>
        </w:rPr>
        <w:t>开放</w:t>
      </w:r>
      <w:r>
        <w:rPr>
          <w:rFonts w:hint="eastAsia" w:ascii="仿宋" w:hAnsi="仿宋" w:eastAsia="仿宋" w:cs="仿宋"/>
          <w:b w:val="0"/>
          <w:bCs w:val="0"/>
          <w:sz w:val="32"/>
          <w:szCs w:val="32"/>
          <w:u w:val="none"/>
        </w:rPr>
        <w:t>教育毕业生2</w:t>
      </w:r>
      <w:r>
        <w:rPr>
          <w:rFonts w:hint="eastAsia" w:ascii="仿宋" w:hAnsi="仿宋" w:eastAsia="仿宋" w:cs="仿宋"/>
          <w:b w:val="0"/>
          <w:bCs w:val="0"/>
          <w:sz w:val="32"/>
          <w:szCs w:val="32"/>
          <w:u w:val="none"/>
          <w:lang w:val="en-US" w:eastAsia="zh-CN"/>
        </w:rPr>
        <w:t>655</w:t>
      </w:r>
      <w:r>
        <w:rPr>
          <w:rFonts w:hint="eastAsia" w:ascii="仿宋" w:hAnsi="仿宋" w:eastAsia="仿宋" w:cs="仿宋"/>
          <w:b w:val="0"/>
          <w:bCs w:val="0"/>
          <w:sz w:val="32"/>
          <w:szCs w:val="32"/>
          <w:u w:val="none"/>
        </w:rPr>
        <w:t>人。其中，本科229人，占比8.</w:t>
      </w:r>
      <w:r>
        <w:rPr>
          <w:rFonts w:hint="eastAsia" w:ascii="仿宋" w:hAnsi="仿宋" w:eastAsia="仿宋" w:cs="仿宋"/>
          <w:b w:val="0"/>
          <w:bCs w:val="0"/>
          <w:sz w:val="32"/>
          <w:szCs w:val="32"/>
          <w:u w:val="none"/>
          <w:lang w:val="en-US" w:eastAsia="zh-CN"/>
        </w:rPr>
        <w:t>63</w:t>
      </w:r>
      <w:r>
        <w:rPr>
          <w:rFonts w:hint="eastAsia" w:ascii="仿宋" w:hAnsi="仿宋" w:eastAsia="仿宋" w:cs="仿宋"/>
          <w:b w:val="0"/>
          <w:bCs w:val="0"/>
          <w:sz w:val="32"/>
          <w:szCs w:val="32"/>
          <w:u w:val="none"/>
        </w:rPr>
        <w:t>%；专科2426人，占比</w:t>
      </w:r>
      <w:r>
        <w:rPr>
          <w:rFonts w:hint="eastAsia" w:ascii="仿宋" w:hAnsi="仿宋" w:eastAsia="仿宋" w:cs="仿宋"/>
          <w:b w:val="0"/>
          <w:bCs w:val="0"/>
          <w:sz w:val="32"/>
          <w:szCs w:val="32"/>
          <w:u w:val="none"/>
          <w:lang w:val="en-US" w:eastAsia="zh-CN"/>
        </w:rPr>
        <w:t>91.37</w:t>
      </w:r>
      <w:r>
        <w:rPr>
          <w:rFonts w:hint="eastAsia" w:ascii="仿宋" w:hAnsi="仿宋" w:eastAsia="仿宋" w:cs="仿宋"/>
          <w:b w:val="0"/>
          <w:bCs w:val="0"/>
          <w:sz w:val="32"/>
          <w:szCs w:val="32"/>
          <w:u w:val="none"/>
        </w:rPr>
        <w:t>%。</w:t>
      </w:r>
    </w:p>
    <w:p>
      <w:pPr>
        <w:pStyle w:val="14"/>
        <w:keepNext w:val="0"/>
        <w:keepLines w:val="0"/>
        <w:pageBreakBefore w:val="0"/>
        <w:widowControl w:val="0"/>
        <w:numPr>
          <w:ilvl w:val="0"/>
          <w:numId w:val="0"/>
        </w:numPr>
        <w:kinsoku/>
        <w:wordWrap/>
        <w:overflowPunct/>
        <w:topLinePunct w:val="0"/>
        <w:autoSpaceDE/>
        <w:autoSpaceDN/>
        <w:bidi w:val="0"/>
        <w:adjustRightInd/>
        <w:snapToGrid/>
        <w:spacing w:after="0" w:line="500" w:lineRule="exact"/>
        <w:ind w:left="640" w:leftChars="0"/>
        <w:textAlignment w:val="auto"/>
        <w:rPr>
          <w:rFonts w:hint="eastAsia" w:ascii="仿宋" w:hAnsi="仿宋" w:eastAsia="仿宋" w:cs="仿宋"/>
          <w:b w:val="0"/>
          <w:bCs w:val="0"/>
          <w:sz w:val="32"/>
          <w:szCs w:val="32"/>
          <w:u w:val="none"/>
          <w:lang w:val="en-US" w:eastAsia="zh-CN"/>
        </w:rPr>
      </w:pPr>
      <w:r>
        <w:rPr>
          <w:rFonts w:hint="eastAsia" w:ascii="仿宋" w:hAnsi="仿宋" w:eastAsia="仿宋" w:cs="仿宋"/>
          <w:b w:val="0"/>
          <w:bCs w:val="0"/>
          <w:sz w:val="32"/>
          <w:szCs w:val="32"/>
          <w:u w:val="none"/>
          <w:lang w:val="en-US" w:eastAsia="zh-CN"/>
        </w:rPr>
        <w:t>2.成人高等教育</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outlineLvl w:val="2"/>
        <w:rPr>
          <w:rFonts w:hint="eastAsia" w:ascii="仿宋" w:hAnsi="仿宋" w:eastAsia="仿宋" w:cs="仿宋"/>
          <w:b w:val="0"/>
          <w:bCs w:val="0"/>
          <w:sz w:val="32"/>
          <w:szCs w:val="32"/>
          <w:u w:val="none"/>
          <w:lang w:val="en-US" w:eastAsia="zh-CN"/>
        </w:rPr>
      </w:pPr>
      <w:r>
        <w:rPr>
          <w:rFonts w:hint="eastAsia" w:ascii="仿宋" w:hAnsi="仿宋" w:eastAsia="仿宋" w:cs="仿宋"/>
          <w:b w:val="0"/>
          <w:bCs w:val="0"/>
          <w:sz w:val="32"/>
          <w:szCs w:val="32"/>
          <w:u w:val="none"/>
          <w:lang w:val="en-US" w:eastAsia="zh-CN"/>
        </w:rPr>
        <w:t>2021年度共有成人高等教育专科在籍生188人，成人高等教育专科毕业生92人。</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outlineLvl w:val="2"/>
        <w:rPr>
          <w:rFonts w:ascii="仿宋" w:hAnsi="仿宋" w:eastAsia="仿宋" w:cs="仿宋"/>
          <w:b w:val="0"/>
          <w:bCs w:val="0"/>
          <w:sz w:val="32"/>
          <w:szCs w:val="32"/>
          <w:u w:val="none"/>
        </w:rPr>
      </w:pPr>
      <w:r>
        <w:rPr>
          <w:rFonts w:hint="eastAsia" w:ascii="仿宋" w:hAnsi="仿宋" w:eastAsia="仿宋" w:cs="仿宋"/>
          <w:b w:val="0"/>
          <w:bCs w:val="0"/>
          <w:sz w:val="32"/>
          <w:szCs w:val="32"/>
          <w:u w:val="none"/>
          <w:lang w:val="en-US" w:eastAsia="zh-CN"/>
        </w:rPr>
        <w:t>3</w:t>
      </w:r>
      <w:r>
        <w:rPr>
          <w:rFonts w:hint="eastAsia" w:ascii="仿宋" w:hAnsi="仿宋" w:eastAsia="仿宋" w:cs="仿宋"/>
          <w:b w:val="0"/>
          <w:bCs w:val="0"/>
          <w:sz w:val="32"/>
          <w:szCs w:val="32"/>
          <w:u w:val="none"/>
        </w:rPr>
        <w:t>.职业教育（</w:t>
      </w:r>
      <w:r>
        <w:rPr>
          <w:rFonts w:hint="eastAsia" w:ascii="仿宋" w:hAnsi="仿宋" w:eastAsia="仿宋" w:cs="仿宋"/>
          <w:b w:val="0"/>
          <w:bCs w:val="0"/>
          <w:sz w:val="32"/>
          <w:szCs w:val="32"/>
          <w:u w:val="none"/>
          <w:lang w:val="en-US" w:eastAsia="zh-CN"/>
        </w:rPr>
        <w:t>高职</w:t>
      </w:r>
      <w:r>
        <w:rPr>
          <w:rFonts w:hint="eastAsia" w:ascii="仿宋" w:hAnsi="仿宋" w:eastAsia="仿宋" w:cs="仿宋"/>
          <w:b w:val="0"/>
          <w:bCs w:val="0"/>
          <w:sz w:val="32"/>
          <w:szCs w:val="32"/>
          <w:u w:val="none"/>
        </w:rPr>
        <w:t>扩招）</w:t>
      </w:r>
    </w:p>
    <w:p>
      <w:pPr>
        <w:keepNext w:val="0"/>
        <w:keepLines w:val="0"/>
        <w:pageBreakBefore w:val="0"/>
        <w:kinsoku/>
        <w:wordWrap/>
        <w:overflowPunct/>
        <w:topLinePunct w:val="0"/>
        <w:autoSpaceDE/>
        <w:autoSpaceDN/>
        <w:bidi w:val="0"/>
        <w:spacing w:line="500" w:lineRule="exact"/>
        <w:ind w:firstLine="640" w:firstLineChars="200"/>
        <w:jc w:val="both"/>
        <w:rPr>
          <w:rFonts w:ascii="仿宋" w:hAnsi="仿宋" w:eastAsia="仿宋" w:cs="仿宋"/>
          <w:b w:val="0"/>
          <w:bCs w:val="0"/>
          <w:sz w:val="32"/>
          <w:szCs w:val="32"/>
          <w:u w:val="none"/>
        </w:rPr>
      </w:pPr>
      <w:r>
        <w:rPr>
          <w:rFonts w:hint="eastAsia" w:ascii="仿宋" w:hAnsi="仿宋" w:eastAsia="仿宋" w:cs="仿宋"/>
          <w:b w:val="0"/>
          <w:bCs w:val="0"/>
          <w:sz w:val="32"/>
          <w:szCs w:val="32"/>
          <w:u w:val="none"/>
        </w:rPr>
        <w:t>2021年度共有职业教育（</w:t>
      </w:r>
      <w:r>
        <w:rPr>
          <w:rFonts w:hint="eastAsia" w:ascii="仿宋" w:hAnsi="仿宋" w:eastAsia="仿宋" w:cs="仿宋"/>
          <w:b w:val="0"/>
          <w:bCs w:val="0"/>
          <w:sz w:val="32"/>
          <w:szCs w:val="32"/>
          <w:u w:val="none"/>
          <w:lang w:val="en-US" w:eastAsia="zh-CN"/>
        </w:rPr>
        <w:t>高职</w:t>
      </w:r>
      <w:r>
        <w:rPr>
          <w:rFonts w:hint="eastAsia" w:ascii="仿宋" w:hAnsi="仿宋" w:eastAsia="仿宋" w:cs="仿宋"/>
          <w:b w:val="0"/>
          <w:bCs w:val="0"/>
          <w:sz w:val="32"/>
          <w:szCs w:val="32"/>
          <w:u w:val="none"/>
        </w:rPr>
        <w:t>扩招）在校生1328人（含本年度招录人数），同比增加6.58%。</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ascii="仿宋" w:hAnsi="仿宋" w:eastAsia="仿宋" w:cs="仿宋"/>
          <w:b w:val="0"/>
          <w:bCs w:val="0"/>
          <w:sz w:val="28"/>
          <w:szCs w:val="28"/>
          <w:u w:val="none"/>
        </w:rPr>
      </w:pPr>
      <w:r>
        <w:rPr>
          <w:rFonts w:hint="eastAsia" w:ascii="仿宋" w:hAnsi="仿宋" w:eastAsia="仿宋" w:cs="仿宋"/>
          <w:b w:val="0"/>
          <w:bCs w:val="0"/>
          <w:kern w:val="0"/>
          <w:sz w:val="28"/>
          <w:szCs w:val="28"/>
          <w:u w:val="none"/>
        </w:rPr>
        <w:t>表2-1</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年度学历教育在籍（校）生人数</w:t>
      </w:r>
    </w:p>
    <w:tbl>
      <w:tblPr>
        <w:tblStyle w:val="1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2"/>
        <w:gridCol w:w="1452"/>
        <w:gridCol w:w="1921"/>
        <w:gridCol w:w="2042"/>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exact"/>
        </w:trPr>
        <w:tc>
          <w:tcPr>
            <w:tcW w:w="702"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层次</w:t>
            </w:r>
          </w:p>
        </w:tc>
        <w:tc>
          <w:tcPr>
            <w:tcW w:w="800"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类型</w:t>
            </w:r>
          </w:p>
        </w:tc>
        <w:tc>
          <w:tcPr>
            <w:tcW w:w="1060"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在籍（校）生人数</w:t>
            </w:r>
          </w:p>
        </w:tc>
        <w:tc>
          <w:tcPr>
            <w:tcW w:w="1127"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本年度</w:t>
            </w:r>
          </w:p>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招生人数</w:t>
            </w:r>
          </w:p>
        </w:tc>
        <w:tc>
          <w:tcPr>
            <w:tcW w:w="130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本年度</w:t>
            </w:r>
          </w:p>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毕业生人数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0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本科</w:t>
            </w:r>
          </w:p>
        </w:tc>
        <w:tc>
          <w:tcPr>
            <w:tcW w:w="80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开放本科</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854</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213</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229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02" w:type="pct"/>
            <w:vMerge w:val="restar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专科</w:t>
            </w:r>
          </w:p>
        </w:tc>
        <w:tc>
          <w:tcPr>
            <w:tcW w:w="80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开放专科</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11355</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3657</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2426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02" w:type="pct"/>
            <w:vMerge w:val="continue"/>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p>
        </w:tc>
        <w:tc>
          <w:tcPr>
            <w:tcW w:w="80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成人专科</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ascii="仿宋" w:hAnsi="仿宋" w:eastAsia="仿宋" w:cs="仿宋"/>
                <w:b w:val="0"/>
                <w:bCs w:val="0"/>
                <w:kern w:val="0"/>
                <w:sz w:val="28"/>
                <w:szCs w:val="28"/>
                <w:u w:val="none"/>
              </w:rPr>
              <w:t>188</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114</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02" w:type="pct"/>
            <w:vMerge w:val="continue"/>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p>
        </w:tc>
        <w:tc>
          <w:tcPr>
            <w:tcW w:w="80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高职扩招</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1</w:t>
            </w:r>
            <w:r>
              <w:rPr>
                <w:rFonts w:ascii="仿宋" w:hAnsi="仿宋" w:eastAsia="仿宋" w:cs="仿宋"/>
                <w:b w:val="0"/>
                <w:bCs w:val="0"/>
                <w:kern w:val="0"/>
                <w:sz w:val="28"/>
                <w:szCs w:val="28"/>
                <w:u w:val="none"/>
              </w:rPr>
              <w:t>328</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82</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0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中专</w:t>
            </w:r>
          </w:p>
        </w:tc>
        <w:tc>
          <w:tcPr>
            <w:tcW w:w="80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成人中专</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0</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0</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503" w:type="pct"/>
            <w:gridSpan w:val="2"/>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合计</w:t>
            </w:r>
          </w:p>
        </w:tc>
        <w:tc>
          <w:tcPr>
            <w:tcW w:w="1060"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13725</w:t>
            </w:r>
          </w:p>
        </w:tc>
        <w:tc>
          <w:tcPr>
            <w:tcW w:w="1127"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4066</w:t>
            </w:r>
          </w:p>
        </w:tc>
        <w:tc>
          <w:tcPr>
            <w:tcW w:w="130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2747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503" w:type="pct"/>
            <w:gridSpan w:val="2"/>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全省排名</w:t>
            </w:r>
          </w:p>
        </w:tc>
        <w:tc>
          <w:tcPr>
            <w:tcW w:w="1060"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5</w:t>
            </w:r>
          </w:p>
        </w:tc>
        <w:tc>
          <w:tcPr>
            <w:tcW w:w="1127"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5</w:t>
            </w:r>
          </w:p>
        </w:tc>
        <w:tc>
          <w:tcPr>
            <w:tcW w:w="130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7</w:t>
            </w:r>
          </w:p>
        </w:tc>
      </w:tr>
    </w:tbl>
    <w:p>
      <w:pPr>
        <w:keepNext w:val="0"/>
        <w:keepLines w:val="0"/>
        <w:pageBreakBefore w:val="0"/>
        <w:kinsoku/>
        <w:wordWrap/>
        <w:overflowPunct/>
        <w:topLinePunct w:val="0"/>
        <w:autoSpaceDE/>
        <w:autoSpaceDN/>
        <w:bidi w:val="0"/>
        <w:adjustRightInd w:val="0"/>
        <w:snapToGrid w:val="0"/>
        <w:spacing w:line="500" w:lineRule="exact"/>
        <w:ind w:firstLine="640" w:firstLineChars="200"/>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（二）非学历教育整体培养情况</w:t>
      </w:r>
    </w:p>
    <w:p>
      <w:pPr>
        <w:keepNext w:val="0"/>
        <w:keepLines w:val="0"/>
        <w:pageBreakBefore w:val="0"/>
        <w:kinsoku/>
        <w:wordWrap/>
        <w:overflowPunct/>
        <w:topLinePunct w:val="0"/>
        <w:autoSpaceDE/>
        <w:autoSpaceDN/>
        <w:bidi w:val="0"/>
        <w:adjustRightInd w:val="0"/>
        <w:snapToGrid w:val="0"/>
        <w:spacing w:line="500" w:lineRule="exact"/>
        <w:ind w:firstLine="640" w:firstLineChars="200"/>
        <w:outlineLvl w:val="1"/>
        <w:rPr>
          <w:rFonts w:ascii="仿宋" w:hAnsi="仿宋" w:eastAsia="仿宋" w:cs="仿宋"/>
          <w:b w:val="0"/>
          <w:bCs w:val="0"/>
          <w:kern w:val="0"/>
          <w:sz w:val="32"/>
          <w:szCs w:val="32"/>
          <w:u w:val="none"/>
        </w:rPr>
      </w:pPr>
      <w:r>
        <w:rPr>
          <w:rFonts w:hint="eastAsia" w:ascii="仿宋" w:hAnsi="仿宋" w:eastAsia="仿宋" w:cs="仿宋"/>
          <w:b w:val="0"/>
          <w:bCs w:val="0"/>
          <w:sz w:val="32"/>
          <w:szCs w:val="32"/>
          <w:u w:val="none"/>
        </w:rPr>
        <w:t>2021年度非学历继续教育项目3个，开设培训班64个班次，培训规模3262人次，</w:t>
      </w:r>
      <w:r>
        <w:rPr>
          <w:rFonts w:hint="eastAsia" w:ascii="仿宋" w:hAnsi="仿宋" w:eastAsia="仿宋" w:cs="仿宋"/>
          <w:b w:val="0"/>
          <w:bCs w:val="0"/>
          <w:kern w:val="0"/>
          <w:sz w:val="32"/>
          <w:szCs w:val="32"/>
          <w:u w:val="none"/>
          <w:lang w:bidi="ar"/>
        </w:rPr>
        <w:t>同比增长</w:t>
      </w:r>
      <w:r>
        <w:rPr>
          <w:rFonts w:hint="eastAsia" w:ascii="仿宋" w:hAnsi="仿宋" w:eastAsia="仿宋" w:cs="仿宋"/>
          <w:b w:val="0"/>
          <w:bCs w:val="0"/>
          <w:sz w:val="32"/>
          <w:szCs w:val="32"/>
          <w:u w:val="none"/>
        </w:rPr>
        <w:t>12</w:t>
      </w:r>
      <w:r>
        <w:rPr>
          <w:rFonts w:hint="eastAsia" w:ascii="仿宋" w:hAnsi="仿宋" w:eastAsia="仿宋" w:cs="仿宋"/>
          <w:b w:val="0"/>
          <w:bCs w:val="0"/>
          <w:kern w:val="0"/>
          <w:sz w:val="32"/>
          <w:szCs w:val="32"/>
          <w:u w:val="none"/>
          <w:lang w:bidi="ar"/>
        </w:rPr>
        <w:t>%</w:t>
      </w:r>
      <w:r>
        <w:rPr>
          <w:rFonts w:hint="eastAsia" w:ascii="仿宋" w:hAnsi="仿宋" w:eastAsia="仿宋" w:cs="仿宋"/>
          <w:b w:val="0"/>
          <w:bCs w:val="0"/>
          <w:sz w:val="32"/>
          <w:szCs w:val="32"/>
          <w:u w:val="none"/>
        </w:rPr>
        <w:t>。</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表2-2</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年度非学历教育情况</w:t>
      </w:r>
    </w:p>
    <w:tbl>
      <w:tblPr>
        <w:tblStyle w:val="11"/>
        <w:tblW w:w="4998" w:type="pct"/>
        <w:tblInd w:w="0" w:type="dxa"/>
        <w:tblLayout w:type="autofit"/>
        <w:tblCellMar>
          <w:top w:w="0" w:type="dxa"/>
          <w:left w:w="108" w:type="dxa"/>
          <w:bottom w:w="0" w:type="dxa"/>
          <w:right w:w="108" w:type="dxa"/>
        </w:tblCellMar>
      </w:tblPr>
      <w:tblGrid>
        <w:gridCol w:w="947"/>
        <w:gridCol w:w="1702"/>
        <w:gridCol w:w="4599"/>
        <w:gridCol w:w="883"/>
        <w:gridCol w:w="926"/>
      </w:tblGrid>
      <w:tr>
        <w:tblPrEx>
          <w:tblCellMar>
            <w:top w:w="0" w:type="dxa"/>
            <w:left w:w="108" w:type="dxa"/>
            <w:bottom w:w="0" w:type="dxa"/>
            <w:right w:w="108" w:type="dxa"/>
          </w:tblCellMar>
        </w:tblPrEx>
        <w:trPr>
          <w:trHeight w:val="340" w:hRule="atLeast"/>
        </w:trPr>
        <w:tc>
          <w:tcPr>
            <w:tcW w:w="523" w:type="pc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序号</w:t>
            </w:r>
          </w:p>
        </w:tc>
        <w:tc>
          <w:tcPr>
            <w:tcW w:w="939"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行业</w:t>
            </w:r>
          </w:p>
        </w:tc>
        <w:tc>
          <w:tcPr>
            <w:tcW w:w="2536"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培训对象</w:t>
            </w:r>
          </w:p>
        </w:tc>
        <w:tc>
          <w:tcPr>
            <w:tcW w:w="487"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班次</w:t>
            </w:r>
          </w:p>
        </w:tc>
        <w:tc>
          <w:tcPr>
            <w:tcW w:w="511"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人次</w:t>
            </w:r>
          </w:p>
        </w:tc>
      </w:tr>
      <w:tr>
        <w:tblPrEx>
          <w:tblCellMar>
            <w:top w:w="0" w:type="dxa"/>
            <w:left w:w="108" w:type="dxa"/>
            <w:bottom w:w="0" w:type="dxa"/>
            <w:right w:w="108" w:type="dxa"/>
          </w:tblCellMar>
        </w:tblPrEx>
        <w:trPr>
          <w:trHeight w:val="340" w:hRule="atLeast"/>
        </w:trPr>
        <w:tc>
          <w:tcPr>
            <w:tcW w:w="52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1</w:t>
            </w:r>
          </w:p>
        </w:tc>
        <w:tc>
          <w:tcPr>
            <w:tcW w:w="9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教育</w:t>
            </w:r>
          </w:p>
        </w:tc>
        <w:tc>
          <w:tcPr>
            <w:tcW w:w="2536"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ind w:right="53" w:rightChars="25"/>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青少年</w:t>
            </w:r>
          </w:p>
        </w:tc>
        <w:tc>
          <w:tcPr>
            <w:tcW w:w="4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3</w:t>
            </w:r>
          </w:p>
        </w:tc>
        <w:tc>
          <w:tcPr>
            <w:tcW w:w="51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205</w:t>
            </w:r>
          </w:p>
        </w:tc>
      </w:tr>
      <w:tr>
        <w:tblPrEx>
          <w:tblCellMar>
            <w:top w:w="0" w:type="dxa"/>
            <w:left w:w="108" w:type="dxa"/>
            <w:bottom w:w="0" w:type="dxa"/>
            <w:right w:w="108" w:type="dxa"/>
          </w:tblCellMar>
        </w:tblPrEx>
        <w:trPr>
          <w:trHeight w:val="340" w:hRule="atLeast"/>
        </w:trPr>
        <w:tc>
          <w:tcPr>
            <w:tcW w:w="52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2</w:t>
            </w:r>
          </w:p>
        </w:tc>
        <w:tc>
          <w:tcPr>
            <w:tcW w:w="9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社会公益</w:t>
            </w:r>
          </w:p>
        </w:tc>
        <w:tc>
          <w:tcPr>
            <w:tcW w:w="2536"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家庭妇女、待业人员、老年人</w:t>
            </w:r>
          </w:p>
        </w:tc>
        <w:tc>
          <w:tcPr>
            <w:tcW w:w="4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10</w:t>
            </w:r>
          </w:p>
        </w:tc>
        <w:tc>
          <w:tcPr>
            <w:tcW w:w="51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720</w:t>
            </w:r>
          </w:p>
        </w:tc>
      </w:tr>
      <w:tr>
        <w:tblPrEx>
          <w:tblCellMar>
            <w:top w:w="0" w:type="dxa"/>
            <w:left w:w="108" w:type="dxa"/>
            <w:bottom w:w="0" w:type="dxa"/>
            <w:right w:w="108" w:type="dxa"/>
          </w:tblCellMar>
        </w:tblPrEx>
        <w:trPr>
          <w:trHeight w:val="340" w:hRule="atLeast"/>
        </w:trPr>
        <w:tc>
          <w:tcPr>
            <w:tcW w:w="52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3</w:t>
            </w:r>
          </w:p>
        </w:tc>
        <w:tc>
          <w:tcPr>
            <w:tcW w:w="9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职业培训</w:t>
            </w:r>
          </w:p>
        </w:tc>
        <w:tc>
          <w:tcPr>
            <w:tcW w:w="2536"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企业职工、学生、教师</w:t>
            </w:r>
          </w:p>
        </w:tc>
        <w:tc>
          <w:tcPr>
            <w:tcW w:w="4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51</w:t>
            </w:r>
          </w:p>
        </w:tc>
        <w:tc>
          <w:tcPr>
            <w:tcW w:w="51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2337</w:t>
            </w:r>
          </w:p>
        </w:tc>
      </w:tr>
      <w:tr>
        <w:tblPrEx>
          <w:tblCellMar>
            <w:top w:w="0" w:type="dxa"/>
            <w:left w:w="108" w:type="dxa"/>
            <w:bottom w:w="0" w:type="dxa"/>
            <w:right w:w="108" w:type="dxa"/>
          </w:tblCellMar>
        </w:tblPrEx>
        <w:trPr>
          <w:trHeight w:val="340" w:hRule="exact"/>
        </w:trPr>
        <w:tc>
          <w:tcPr>
            <w:tcW w:w="4000" w:type="pct"/>
            <w:gridSpan w:val="3"/>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合计</w:t>
            </w:r>
          </w:p>
        </w:tc>
        <w:tc>
          <w:tcPr>
            <w:tcW w:w="4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64</w:t>
            </w:r>
          </w:p>
        </w:tc>
        <w:tc>
          <w:tcPr>
            <w:tcW w:w="51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snapToGrid w:val="0"/>
              <w:spacing w:line="320" w:lineRule="exact"/>
              <w:jc w:val="center"/>
              <w:rPr>
                <w:rFonts w:ascii="仿宋" w:hAnsi="仿宋" w:eastAsia="仿宋" w:cs="仿宋"/>
                <w:b w:val="0"/>
                <w:bCs w:val="0"/>
                <w:sz w:val="28"/>
                <w:szCs w:val="28"/>
                <w:u w:val="none"/>
              </w:rPr>
            </w:pPr>
            <w:r>
              <w:rPr>
                <w:rFonts w:hint="eastAsia" w:ascii="仿宋" w:hAnsi="仿宋" w:eastAsia="仿宋" w:cs="仿宋"/>
                <w:b w:val="0"/>
                <w:bCs w:val="0"/>
                <w:sz w:val="28"/>
                <w:szCs w:val="28"/>
                <w:u w:val="none"/>
              </w:rPr>
              <w:t>3262</w:t>
            </w:r>
          </w:p>
        </w:tc>
      </w:tr>
      <w:tr>
        <w:tblPrEx>
          <w:tblCellMar>
            <w:top w:w="0" w:type="dxa"/>
            <w:left w:w="108" w:type="dxa"/>
            <w:bottom w:w="0" w:type="dxa"/>
            <w:right w:w="108" w:type="dxa"/>
          </w:tblCellMar>
        </w:tblPrEx>
        <w:trPr>
          <w:trHeight w:val="340" w:hRule="exact"/>
        </w:trPr>
        <w:tc>
          <w:tcPr>
            <w:tcW w:w="4000" w:type="pct"/>
            <w:gridSpan w:val="3"/>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全省排名</w:t>
            </w:r>
          </w:p>
        </w:tc>
        <w:tc>
          <w:tcPr>
            <w:tcW w:w="487" w:type="pc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3</w:t>
            </w:r>
          </w:p>
        </w:tc>
        <w:tc>
          <w:tcPr>
            <w:tcW w:w="511" w:type="pc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val="0"/>
              <w:snapToGrid w:val="0"/>
              <w:spacing w:line="32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6</w:t>
            </w:r>
          </w:p>
        </w:tc>
      </w:tr>
    </w:tbl>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（三）学校专业设置情况</w:t>
      </w:r>
    </w:p>
    <w:p>
      <w:pPr>
        <w:keepNext w:val="0"/>
        <w:keepLines w:val="0"/>
        <w:pageBreakBefore w:val="0"/>
        <w:widowControl w:val="0"/>
        <w:kinsoku/>
        <w:wordWrap/>
        <w:overflowPunct/>
        <w:topLinePunct w:val="0"/>
        <w:autoSpaceDE/>
        <w:autoSpaceDN/>
        <w:bidi w:val="0"/>
        <w:spacing w:line="500" w:lineRule="exact"/>
        <w:ind w:firstLine="640" w:firstLineChars="200"/>
        <w:textAlignment w:val="auto"/>
        <w:rPr>
          <w:b w:val="0"/>
          <w:bCs w:val="0"/>
          <w:u w:val="none"/>
        </w:rPr>
      </w:pPr>
      <w:r>
        <w:rPr>
          <w:rFonts w:hint="eastAsia" w:ascii="仿宋" w:hAnsi="仿宋" w:eastAsia="仿宋" w:cs="仿宋"/>
          <w:b w:val="0"/>
          <w:bCs w:val="0"/>
          <w:sz w:val="32"/>
          <w:szCs w:val="32"/>
          <w:u w:val="none"/>
        </w:rPr>
        <w:t>2021年度招收开放教育本、专科专业共44个，持续不变。其中，本科11个，占比25%；专科33个，占比75%。2021年度招收职业教育（</w:t>
      </w:r>
      <w:r>
        <w:rPr>
          <w:rFonts w:hint="eastAsia" w:ascii="仿宋" w:hAnsi="仿宋" w:eastAsia="仿宋" w:cs="仿宋"/>
          <w:b w:val="0"/>
          <w:bCs w:val="0"/>
          <w:sz w:val="32"/>
          <w:szCs w:val="32"/>
          <w:u w:val="none"/>
          <w:lang w:val="en-US" w:eastAsia="zh-CN"/>
        </w:rPr>
        <w:t>高职</w:t>
      </w:r>
      <w:r>
        <w:rPr>
          <w:rFonts w:hint="eastAsia" w:ascii="仿宋" w:hAnsi="仿宋" w:eastAsia="仿宋" w:cs="仿宋"/>
          <w:b w:val="0"/>
          <w:bCs w:val="0"/>
          <w:sz w:val="32"/>
          <w:szCs w:val="32"/>
          <w:u w:val="none"/>
        </w:rPr>
        <w:t>扩招）专业共2个。</w:t>
      </w:r>
    </w:p>
    <w:p>
      <w:pPr>
        <w:pStyle w:val="2"/>
        <w:keepNext w:val="0"/>
        <w:keepLines w:val="0"/>
        <w:pageBreakBefore w:val="0"/>
        <w:widowControl w:val="0"/>
        <w:kinsoku/>
        <w:wordWrap/>
        <w:overflowPunct/>
        <w:topLinePunct w:val="0"/>
        <w:autoSpaceDE/>
        <w:autoSpaceDN/>
        <w:bidi w:val="0"/>
        <w:spacing w:after="0" w:line="500" w:lineRule="exact"/>
        <w:jc w:val="center"/>
        <w:textAlignment w:val="auto"/>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表2-3-1</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年度开放教育招生规模排名前五位的本科专业</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6"/>
        <w:gridCol w:w="3124"/>
        <w:gridCol w:w="2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专业名称</w:t>
            </w:r>
          </w:p>
        </w:tc>
        <w:tc>
          <w:tcPr>
            <w:tcW w:w="172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招生数（人）</w:t>
            </w:r>
          </w:p>
        </w:tc>
        <w:tc>
          <w:tcPr>
            <w:tcW w:w="1312"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行政管理</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58</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汉语言文学（师范方向）</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37</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土木工程</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35</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法学</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22</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会计学</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18</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w:t>
            </w:r>
          </w:p>
        </w:tc>
      </w:tr>
    </w:tbl>
    <w:p>
      <w:pPr>
        <w:pStyle w:val="2"/>
        <w:keepNext w:val="0"/>
        <w:keepLines w:val="0"/>
        <w:pageBreakBefore w:val="0"/>
        <w:widowControl w:val="0"/>
        <w:kinsoku/>
        <w:wordWrap/>
        <w:overflowPunct/>
        <w:topLinePunct w:val="0"/>
        <w:autoSpaceDE/>
        <w:autoSpaceDN/>
        <w:bidi w:val="0"/>
        <w:adjustRightInd/>
        <w:snapToGrid/>
        <w:spacing w:after="0" w:line="500" w:lineRule="exact"/>
        <w:jc w:val="center"/>
        <w:textAlignment w:val="auto"/>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表2-3-2</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年度开放教育招生规模排名前五位的专科专业</w:t>
      </w:r>
    </w:p>
    <w:tbl>
      <w:tblPr>
        <w:tblStyle w:val="1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7"/>
        <w:gridCol w:w="3124"/>
        <w:gridCol w:w="2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专业名称</w:t>
            </w:r>
          </w:p>
        </w:tc>
        <w:tc>
          <w:tcPr>
            <w:tcW w:w="172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招生数（人）</w:t>
            </w:r>
          </w:p>
        </w:tc>
        <w:tc>
          <w:tcPr>
            <w:tcW w:w="1312"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行政管理</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810</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工商企业管理</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578</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药学</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417</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建筑工程技术</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403</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会计</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253</w:t>
            </w:r>
          </w:p>
        </w:tc>
        <w:tc>
          <w:tcPr>
            <w:tcW w:w="131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7</w:t>
            </w:r>
          </w:p>
        </w:tc>
      </w:tr>
    </w:tbl>
    <w:p>
      <w:pPr>
        <w:pStyle w:val="2"/>
        <w:keepNext w:val="0"/>
        <w:keepLines w:val="0"/>
        <w:pageBreakBefore w:val="0"/>
        <w:widowControl w:val="0"/>
        <w:kinsoku/>
        <w:wordWrap/>
        <w:overflowPunct/>
        <w:topLinePunct w:val="0"/>
        <w:autoSpaceDE/>
        <w:autoSpaceDN/>
        <w:bidi w:val="0"/>
        <w:adjustRightInd/>
        <w:snapToGrid/>
        <w:spacing w:after="0" w:line="500" w:lineRule="exact"/>
        <w:jc w:val="center"/>
        <w:textAlignment w:val="auto"/>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表2-3-3</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年度职业教育（</w:t>
      </w:r>
      <w:r>
        <w:rPr>
          <w:rFonts w:hint="eastAsia" w:ascii="仿宋" w:hAnsi="仿宋" w:eastAsia="仿宋" w:cs="仿宋"/>
          <w:b w:val="0"/>
          <w:bCs w:val="0"/>
          <w:kern w:val="0"/>
          <w:sz w:val="28"/>
          <w:szCs w:val="28"/>
          <w:u w:val="none"/>
          <w:lang w:val="en-US" w:eastAsia="zh-CN"/>
        </w:rPr>
        <w:t>高职</w:t>
      </w:r>
      <w:r>
        <w:rPr>
          <w:rFonts w:hint="eastAsia" w:ascii="仿宋" w:hAnsi="仿宋" w:eastAsia="仿宋" w:cs="仿宋"/>
          <w:b w:val="0"/>
          <w:bCs w:val="0"/>
          <w:kern w:val="0"/>
          <w:sz w:val="28"/>
          <w:szCs w:val="28"/>
          <w:u w:val="none"/>
        </w:rPr>
        <w:t>扩招）招收专业</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4"/>
        <w:gridCol w:w="3124"/>
        <w:gridCol w:w="2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2"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专业名称</w:t>
            </w:r>
          </w:p>
        </w:tc>
        <w:tc>
          <w:tcPr>
            <w:tcW w:w="172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招生数（人）</w:t>
            </w:r>
          </w:p>
        </w:tc>
        <w:tc>
          <w:tcPr>
            <w:tcW w:w="1313"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大数据与会计</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44</w:t>
            </w:r>
          </w:p>
        </w:tc>
        <w:tc>
          <w:tcPr>
            <w:tcW w:w="131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962"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园林技术</w:t>
            </w:r>
          </w:p>
        </w:tc>
        <w:tc>
          <w:tcPr>
            <w:tcW w:w="172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38</w:t>
            </w:r>
          </w:p>
        </w:tc>
        <w:tc>
          <w:tcPr>
            <w:tcW w:w="1313"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46</w:t>
            </w:r>
          </w:p>
        </w:tc>
      </w:tr>
    </w:tbl>
    <w:p>
      <w:pPr>
        <w:keepNext w:val="0"/>
        <w:keepLines w:val="0"/>
        <w:pageBreakBefore w:val="0"/>
        <w:kinsoku/>
        <w:wordWrap/>
        <w:overflowPunct/>
        <w:topLinePunct w:val="0"/>
        <w:autoSpaceDE/>
        <w:autoSpaceDN/>
        <w:bidi w:val="0"/>
        <w:adjustRightInd w:val="0"/>
        <w:snapToGrid w:val="0"/>
        <w:spacing w:line="500" w:lineRule="exact"/>
        <w:ind w:firstLine="640" w:firstLineChars="200"/>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（四）质量提升综治工程</w:t>
      </w:r>
    </w:p>
    <w:p>
      <w:pPr>
        <w:keepNext w:val="0"/>
        <w:keepLines w:val="0"/>
        <w:pageBreakBefore w:val="0"/>
        <w:kinsoku/>
        <w:wordWrap/>
        <w:overflowPunct/>
        <w:topLinePunct w:val="0"/>
        <w:autoSpaceDE/>
        <w:autoSpaceDN/>
        <w:bidi w:val="0"/>
        <w:adjustRightInd w:val="0"/>
        <w:snapToGrid w:val="0"/>
        <w:spacing w:line="500" w:lineRule="exact"/>
        <w:ind w:firstLine="640" w:firstLineChars="200"/>
        <w:textAlignment w:val="auto"/>
        <w:outlineLvl w:val="1"/>
        <w:rPr>
          <w:rFonts w:ascii="仿宋" w:hAnsi="仿宋" w:eastAsia="仿宋"/>
          <w:b w:val="0"/>
          <w:bCs w:val="0"/>
          <w:sz w:val="32"/>
          <w:szCs w:val="32"/>
          <w:u w:val="none"/>
        </w:rPr>
      </w:pPr>
      <w:r>
        <w:rPr>
          <w:rFonts w:hint="eastAsia" w:ascii="仿宋" w:hAnsi="仿宋" w:eastAsia="仿宋"/>
          <w:b w:val="0"/>
          <w:bCs w:val="0"/>
          <w:sz w:val="32"/>
          <w:szCs w:val="32"/>
          <w:u w:val="none"/>
        </w:rPr>
        <w:t>1.质量保障制度</w:t>
      </w:r>
    </w:p>
    <w:p>
      <w:pPr>
        <w:keepNext w:val="0"/>
        <w:keepLines w:val="0"/>
        <w:pageBreakBefore w:val="0"/>
        <w:widowControl/>
        <w:kinsoku/>
        <w:wordWrap/>
        <w:overflowPunct/>
        <w:topLinePunct w:val="0"/>
        <w:autoSpaceDE/>
        <w:autoSpaceDN/>
        <w:bidi w:val="0"/>
        <w:spacing w:line="500" w:lineRule="exact"/>
        <w:ind w:firstLine="640" w:firstLineChars="200"/>
        <w:jc w:val="left"/>
        <w:textAlignment w:val="auto"/>
        <w:rPr>
          <w:b w:val="0"/>
          <w:bCs w:val="0"/>
          <w:u w:val="none"/>
        </w:rPr>
      </w:pPr>
      <w:r>
        <w:rPr>
          <w:rFonts w:hint="eastAsia" w:ascii="仿宋" w:hAnsi="仿宋" w:eastAsia="仿宋" w:cs="仿宋"/>
          <w:b w:val="0"/>
          <w:bCs w:val="0"/>
          <w:sz w:val="32"/>
          <w:szCs w:val="32"/>
          <w:u w:val="none"/>
        </w:rPr>
        <w:t>2021年度建立健全校内质量管理制度18项。</w:t>
      </w:r>
    </w:p>
    <w:p>
      <w:pPr>
        <w:keepNext w:val="0"/>
        <w:keepLines w:val="0"/>
        <w:pageBreakBefore w:val="0"/>
        <w:widowControl/>
        <w:kinsoku/>
        <w:wordWrap/>
        <w:overflowPunct/>
        <w:topLinePunct w:val="0"/>
        <w:autoSpaceDE/>
        <w:autoSpaceDN/>
        <w:bidi w:val="0"/>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表2-4-1 2021年度重要规章制度建设情况</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638"/>
        <w:gridCol w:w="66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序号</w:t>
            </w:r>
          </w:p>
        </w:tc>
        <w:tc>
          <w:tcPr>
            <w:tcW w:w="90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类别</w:t>
            </w:r>
          </w:p>
        </w:tc>
        <w:tc>
          <w:tcPr>
            <w:tcW w:w="3663"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规章制度名称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质量管理</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吉安开放大学关于加强教学质量保障体系建设的意见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质量管理</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吉安开放大学关于成立教学指导与质量保障委员会的通知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质量管理</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吉安开放大学教学督导工作管理办法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质量管理</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吉安开放大学人才培养与教学模式改革的指导意见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思政教育</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吉安电大“三全育人”工作方案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思政教育</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吉安电大新时代爱国主义教育工作方案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7</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教学</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吉安电大关于加强开放教育网上教学工作的通知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教学团队</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吉安电大关于组建2021年课程网络教学团队的通知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教学团队</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关于聘请胡春晓等36名</w:t>
            </w:r>
            <w:r>
              <w:rPr>
                <w:rFonts w:hint="eastAsia" w:ascii="仿宋" w:hAnsi="仿宋" w:eastAsia="仿宋" w:cs="仿宋"/>
                <w:b w:val="0"/>
                <w:bCs w:val="0"/>
                <w:sz w:val="28"/>
                <w:szCs w:val="28"/>
                <w:u w:val="none"/>
                <w:lang w:eastAsia="zh-CN"/>
              </w:rPr>
              <w:t>教师</w:t>
            </w:r>
            <w:r>
              <w:rPr>
                <w:rFonts w:hint="eastAsia" w:ascii="仿宋" w:hAnsi="仿宋" w:eastAsia="仿宋" w:cs="仿宋"/>
                <w:b w:val="0"/>
                <w:bCs w:val="0"/>
                <w:sz w:val="28"/>
                <w:szCs w:val="28"/>
                <w:u w:val="none"/>
              </w:rPr>
              <w:t>组</w:t>
            </w:r>
            <w:r>
              <w:rPr>
                <w:rFonts w:hint="eastAsia" w:ascii="仿宋" w:hAnsi="仿宋" w:eastAsia="仿宋" w:cs="仿宋"/>
                <w:b w:val="0"/>
                <w:bCs w:val="0"/>
                <w:sz w:val="28"/>
                <w:szCs w:val="28"/>
                <w:u w:val="none"/>
                <w:lang w:val="en-US" w:eastAsia="zh-CN"/>
              </w:rPr>
              <w:t>建</w:t>
            </w:r>
            <w:r>
              <w:rPr>
                <w:rFonts w:hint="eastAsia" w:ascii="仿宋" w:hAnsi="仿宋" w:eastAsia="仿宋" w:cs="仿宋"/>
                <w:b w:val="0"/>
                <w:bCs w:val="0"/>
                <w:sz w:val="28"/>
                <w:szCs w:val="28"/>
                <w:u w:val="none"/>
              </w:rPr>
              <w:t>思想政治</w:t>
            </w:r>
            <w:r>
              <w:rPr>
                <w:rFonts w:hint="eastAsia" w:ascii="仿宋" w:hAnsi="仿宋" w:eastAsia="仿宋" w:cs="仿宋"/>
                <w:b w:val="0"/>
                <w:bCs w:val="0"/>
                <w:sz w:val="28"/>
                <w:szCs w:val="28"/>
                <w:u w:val="none"/>
                <w:lang w:eastAsia="zh-CN"/>
              </w:rPr>
              <w:t>教师</w:t>
            </w:r>
            <w:r>
              <w:rPr>
                <w:rFonts w:hint="eastAsia" w:ascii="仿宋" w:hAnsi="仿宋" w:eastAsia="仿宋" w:cs="仿宋"/>
                <w:b w:val="0"/>
                <w:bCs w:val="0"/>
                <w:sz w:val="28"/>
                <w:szCs w:val="28"/>
                <w:u w:val="none"/>
              </w:rPr>
              <w:t>团队的通知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10</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财务</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吉安电大开放教育2021年秋季校本部老生开学缴费通知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学籍</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关于对学信网反馈身份存疑学生学籍学历注册信息进行复核工作的通知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12</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科研</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吉安电大关于参照执行井冈山大学科研项目相关管理办法的通知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13</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形成性考核</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关于进一步规范形成性考核作业批阅要求的通知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14</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终结性考试</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吉安开放大学关于进一步规范考试组织实施的通知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15</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关于进一步规范新生入学资格审核的通知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16</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实践论文</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关于吉安电大专科毕业论文撰写要求的通知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17</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实践论文</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关于开展2021秋吉安电大专科毕业实践论文相关工作的通知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1" w:type="pct"/>
            <w:vAlign w:val="center"/>
          </w:tcPr>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18</w:t>
            </w:r>
          </w:p>
        </w:tc>
        <w:tc>
          <w:tcPr>
            <w:tcW w:w="904"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学习资源建设</w:t>
            </w:r>
          </w:p>
        </w:tc>
        <w:tc>
          <w:tcPr>
            <w:tcW w:w="3663" w:type="pct"/>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关于提高教材征订率的通知</w:t>
            </w:r>
          </w:p>
        </w:tc>
      </w:tr>
    </w:tbl>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2.办学体系和招生管理</w:t>
      </w:r>
    </w:p>
    <w:p>
      <w:pPr>
        <w:keepNext w:val="0"/>
        <w:keepLines w:val="0"/>
        <w:pageBreakBefore w:val="0"/>
        <w:widowControl/>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lang w:val="en-US" w:eastAsia="zh-CN"/>
        </w:rPr>
      </w:pPr>
      <w:r>
        <w:rPr>
          <w:rFonts w:hint="eastAsia" w:ascii="仿宋" w:hAnsi="仿宋" w:eastAsia="仿宋" w:cs="仿宋"/>
          <w:b w:val="0"/>
          <w:bCs w:val="0"/>
          <w:sz w:val="32"/>
          <w:szCs w:val="32"/>
          <w:u w:val="none"/>
          <w:lang w:val="en-US" w:eastAsia="zh-CN"/>
        </w:rPr>
        <w:t>吉安</w:t>
      </w:r>
      <w:r>
        <w:rPr>
          <w:rFonts w:hint="eastAsia" w:ascii="仿宋" w:hAnsi="仿宋" w:eastAsia="仿宋" w:cs="仿宋"/>
          <w:b w:val="0"/>
          <w:bCs w:val="0"/>
          <w:sz w:val="32"/>
          <w:szCs w:val="32"/>
          <w:u w:val="none"/>
        </w:rPr>
        <w:t>市共辖2个市辖区、1个县级市10个县。截至2022年1月，</w:t>
      </w:r>
      <w:r>
        <w:rPr>
          <w:rFonts w:hint="eastAsia" w:ascii="仿宋" w:hAnsi="仿宋" w:eastAsia="仿宋" w:cs="仿宋"/>
          <w:b w:val="0"/>
          <w:bCs w:val="0"/>
          <w:sz w:val="32"/>
          <w:szCs w:val="32"/>
          <w:u w:val="none"/>
          <w:lang w:val="en-US" w:eastAsia="zh-CN"/>
        </w:rPr>
        <w:t>学</w:t>
      </w:r>
      <w:r>
        <w:rPr>
          <w:rFonts w:hint="eastAsia" w:ascii="仿宋" w:hAnsi="仿宋" w:eastAsia="仿宋" w:cs="仿宋"/>
          <w:b w:val="0"/>
          <w:bCs w:val="0"/>
          <w:sz w:val="32"/>
          <w:szCs w:val="32"/>
          <w:u w:val="none"/>
        </w:rPr>
        <w:t>校所辖县级机构覆盖2个市辖区、1个县级市10个县。所辖县级机构包含9个开放学院（9个已招生办学）。2021年度学习中心无新增无撤销。</w:t>
      </w:r>
    </w:p>
    <w:p>
      <w:pPr>
        <w:keepNext w:val="0"/>
        <w:keepLines w:val="0"/>
        <w:pageBreakBefore w:val="0"/>
        <w:widowControl/>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2021年度所辖县级机构共招收学生3678人，占全市招生的95%。其中，11个县级机构招收学生100人以上。</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县级机构管理工作主要体现在：</w:t>
      </w:r>
    </w:p>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1</w:t>
      </w:r>
      <w:r>
        <w:rPr>
          <w:rFonts w:hint="eastAsia" w:ascii="仿宋" w:hAnsi="仿宋" w:eastAsia="仿宋" w:cs="仿宋"/>
          <w:b w:val="0"/>
          <w:bCs w:val="0"/>
          <w:sz w:val="32"/>
          <w:szCs w:val="32"/>
          <w:u w:val="none"/>
        </w:rPr>
        <w:t>）服务意识强，校领导赴所辖</w:t>
      </w:r>
      <w:r>
        <w:rPr>
          <w:rFonts w:hint="eastAsia" w:ascii="仿宋" w:hAnsi="仿宋" w:eastAsia="仿宋" w:cs="仿宋"/>
          <w:b w:val="0"/>
          <w:bCs w:val="0"/>
          <w:sz w:val="32"/>
          <w:szCs w:val="32"/>
          <w:u w:val="none"/>
          <w:lang w:eastAsia="zh-CN"/>
        </w:rPr>
        <w:t>学习中心（开放学院）</w:t>
      </w:r>
      <w:r>
        <w:rPr>
          <w:rFonts w:hint="eastAsia" w:ascii="仿宋" w:hAnsi="仿宋" w:eastAsia="仿宋" w:cs="仿宋"/>
          <w:b w:val="0"/>
          <w:bCs w:val="0"/>
          <w:sz w:val="32"/>
          <w:szCs w:val="32"/>
          <w:u w:val="none"/>
        </w:rPr>
        <w:t>全方位覆盖开展工作调研。</w:t>
      </w:r>
    </w:p>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贺晓斌等校领导赴所辖学习中心全方位覆盖开展工作调研。指导学习中心的业务工作</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对招生、教学、考试等方面帮助其解决办学中的困难，使本区域办学体系健康发展。</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2</w:t>
      </w:r>
      <w:r>
        <w:rPr>
          <w:rFonts w:hint="eastAsia" w:ascii="仿宋" w:hAnsi="仿宋" w:eastAsia="仿宋" w:cs="仿宋"/>
          <w:b w:val="0"/>
          <w:bCs w:val="0"/>
          <w:sz w:val="32"/>
          <w:szCs w:val="32"/>
          <w:u w:val="none"/>
        </w:rPr>
        <w:t>）以“三治”为抓手</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持续推进开放教育质量提升综合治理工程向纵深发展。</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通过完善制度、狠抓教学过程、签订自律承诺、加强督导督查、从严治管、规范流程、从严“三治”等手段，多维度全面推进开放教育创优提质综合治理工程落地落实。</w:t>
      </w:r>
    </w:p>
    <w:p>
      <w:pPr>
        <w:keepNext w:val="0"/>
        <w:keepLines w:val="0"/>
        <w:pageBreakBefore w:val="0"/>
        <w:kinsoku/>
        <w:wordWrap/>
        <w:overflowPunct/>
        <w:topLinePunct w:val="0"/>
        <w:autoSpaceDE/>
        <w:autoSpaceDN/>
        <w:bidi w:val="0"/>
        <w:adjustRightInd/>
        <w:snapToGrid w:val="0"/>
        <w:spacing w:line="500" w:lineRule="exact"/>
        <w:ind w:firstLine="643" w:firstLineChars="200"/>
        <w:jc w:val="both"/>
        <w:textAlignment w:val="auto"/>
        <w:rPr>
          <w:rFonts w:hint="eastAsia" w:ascii="仿宋" w:hAnsi="仿宋" w:eastAsia="仿宋" w:cs="仿宋"/>
          <w:b/>
          <w:bCs/>
          <w:sz w:val="32"/>
          <w:szCs w:val="32"/>
          <w:u w:val="none"/>
        </w:rPr>
      </w:pPr>
      <w:r>
        <w:rPr>
          <w:rFonts w:hint="eastAsia" w:ascii="仿宋" w:hAnsi="仿宋" w:eastAsia="仿宋" w:cs="仿宋"/>
          <w:b/>
          <w:bCs/>
          <w:sz w:val="32"/>
          <w:szCs w:val="32"/>
          <w:u w:val="none"/>
        </w:rPr>
        <w:t>从严治招，把好入口</w:t>
      </w:r>
      <w:r>
        <w:rPr>
          <w:rFonts w:hint="eastAsia" w:ascii="仿宋" w:hAnsi="仿宋" w:eastAsia="仿宋" w:cs="仿宋"/>
          <w:b/>
          <w:bCs/>
          <w:sz w:val="32"/>
          <w:szCs w:val="32"/>
          <w:u w:val="none"/>
          <w:lang w:eastAsia="zh-CN"/>
        </w:rPr>
        <w:t>；</w:t>
      </w:r>
      <w:r>
        <w:rPr>
          <w:rFonts w:hint="eastAsia" w:ascii="仿宋" w:hAnsi="仿宋" w:eastAsia="仿宋" w:cs="仿宋"/>
          <w:b/>
          <w:bCs/>
          <w:sz w:val="32"/>
          <w:szCs w:val="32"/>
          <w:u w:val="none"/>
        </w:rPr>
        <w:t>创新求变，精准定位</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班子讲政治，识大局，攻坚克难，咬住“确保招生质量，实现精准招生”这根主弦不放松，严格审核异地生源</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不折腾、不反复；从严治招，把好入口，拒绝虚假承诺，规范招生环境，招生源头以“清”为目标。</w:t>
      </w:r>
    </w:p>
    <w:p>
      <w:pPr>
        <w:keepNext w:val="0"/>
        <w:keepLines w:val="0"/>
        <w:pageBreakBefore w:val="0"/>
        <w:kinsoku/>
        <w:wordWrap/>
        <w:overflowPunct/>
        <w:topLinePunct w:val="0"/>
        <w:autoSpaceDE/>
        <w:autoSpaceDN/>
        <w:bidi w:val="0"/>
        <w:adjustRightInd/>
        <w:snapToGrid w:val="0"/>
        <w:spacing w:line="500" w:lineRule="exact"/>
        <w:ind w:firstLine="643" w:firstLineChars="200"/>
        <w:jc w:val="both"/>
        <w:textAlignment w:val="auto"/>
        <w:rPr>
          <w:rFonts w:hint="eastAsia" w:ascii="仿宋" w:hAnsi="仿宋" w:eastAsia="仿宋" w:cs="仿宋"/>
          <w:b/>
          <w:bCs/>
          <w:sz w:val="32"/>
          <w:szCs w:val="32"/>
          <w:u w:val="none"/>
        </w:rPr>
      </w:pPr>
      <w:r>
        <w:rPr>
          <w:rFonts w:hint="eastAsia" w:ascii="仿宋" w:hAnsi="仿宋" w:eastAsia="仿宋" w:cs="仿宋"/>
          <w:b/>
          <w:bCs/>
          <w:sz w:val="32"/>
          <w:szCs w:val="32"/>
          <w:u w:val="none"/>
        </w:rPr>
        <w:t>从严治教，提升质量；稳中求进，久久为功</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严格落实“三治”综合治理措施，认清形势，用刀口向内，刮骨疗毒的决心，力促真教、真学，踏实治学，教学过程以“疏”为导向</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加强网上学习指导</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积极组织参加省校教学比赛。</w:t>
      </w:r>
    </w:p>
    <w:p>
      <w:pPr>
        <w:keepNext w:val="0"/>
        <w:keepLines w:val="0"/>
        <w:pageBreakBefore w:val="0"/>
        <w:kinsoku/>
        <w:wordWrap/>
        <w:overflowPunct/>
        <w:topLinePunct w:val="0"/>
        <w:autoSpaceDE/>
        <w:autoSpaceDN/>
        <w:bidi w:val="0"/>
        <w:adjustRightInd/>
        <w:snapToGrid w:val="0"/>
        <w:spacing w:line="500" w:lineRule="exact"/>
        <w:ind w:firstLine="643" w:firstLineChars="200"/>
        <w:jc w:val="both"/>
        <w:textAlignment w:val="auto"/>
        <w:rPr>
          <w:rFonts w:hint="eastAsia" w:ascii="仿宋" w:hAnsi="仿宋" w:eastAsia="仿宋" w:cs="仿宋"/>
          <w:b/>
          <w:bCs/>
          <w:sz w:val="32"/>
          <w:szCs w:val="32"/>
          <w:u w:val="none"/>
        </w:rPr>
      </w:pPr>
      <w:r>
        <w:rPr>
          <w:rFonts w:hint="eastAsia" w:ascii="仿宋" w:hAnsi="仿宋" w:eastAsia="仿宋" w:cs="仿宋"/>
          <w:b/>
          <w:bCs/>
          <w:sz w:val="32"/>
          <w:szCs w:val="32"/>
          <w:u w:val="none"/>
        </w:rPr>
        <w:t>从严治考，维护公平；辅导到位，自信应考</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紧跟省校工作步伐，多措并举，多维度开展系列治考专项活动，抱着以生为本原则，坚守治考底线，开展“试卷保密室”达标自查、考务人员专项培训、考生“诚信参考”网上签名活动</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考前辅导并下发辅导材料等措施</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让考生自信入考场。</w:t>
      </w:r>
    </w:p>
    <w:p>
      <w:pPr>
        <w:keepNext w:val="0"/>
        <w:keepLines w:val="0"/>
        <w:pageBreakBefore w:val="0"/>
        <w:kinsoku/>
        <w:wordWrap/>
        <w:overflowPunct/>
        <w:topLinePunct w:val="0"/>
        <w:autoSpaceDE/>
        <w:autoSpaceDN/>
        <w:bidi w:val="0"/>
        <w:adjustRightInd/>
        <w:snapToGrid w:val="0"/>
        <w:spacing w:line="500" w:lineRule="exact"/>
        <w:ind w:firstLine="643" w:firstLineChars="200"/>
        <w:jc w:val="both"/>
        <w:textAlignment w:val="auto"/>
        <w:rPr>
          <w:rFonts w:hint="eastAsia" w:ascii="仿宋" w:hAnsi="仿宋" w:eastAsia="仿宋" w:cs="仿宋"/>
          <w:b/>
          <w:bCs/>
          <w:sz w:val="32"/>
          <w:szCs w:val="32"/>
          <w:u w:val="none"/>
        </w:rPr>
      </w:pPr>
      <w:r>
        <w:rPr>
          <w:rFonts w:hint="eastAsia" w:ascii="仿宋" w:hAnsi="仿宋" w:eastAsia="仿宋" w:cs="仿宋"/>
          <w:b/>
          <w:bCs/>
          <w:sz w:val="32"/>
          <w:szCs w:val="32"/>
          <w:u w:val="none"/>
        </w:rPr>
        <w:t>从严治管，规范流程；管理创新，服务到位</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以“三治”为抓手，抓制度促管理，抓落实促成效，提升办学治理能力和治理水平。</w:t>
      </w:r>
    </w:p>
    <w:p>
      <w:pPr>
        <w:keepNext w:val="0"/>
        <w:keepLines w:val="0"/>
        <w:pageBreakBefore w:val="0"/>
        <w:widowControl/>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3</w:t>
      </w:r>
      <w:r>
        <w:rPr>
          <w:rFonts w:hint="eastAsia" w:ascii="仿宋" w:hAnsi="仿宋" w:eastAsia="仿宋" w:cs="仿宋"/>
          <w:b w:val="0"/>
          <w:bCs w:val="0"/>
          <w:sz w:val="32"/>
          <w:szCs w:val="32"/>
          <w:u w:val="none"/>
        </w:rPr>
        <w:t>）加强教学质量保障体系建设，教学督导工作到位。</w:t>
      </w:r>
    </w:p>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吉安开放大学通过制定《</w:t>
      </w:r>
      <w:r>
        <w:rPr>
          <w:rFonts w:hint="eastAsia" w:ascii="仿宋" w:hAnsi="仿宋" w:eastAsia="仿宋" w:cs="仿宋"/>
          <w:b w:val="0"/>
          <w:bCs w:val="0"/>
          <w:spacing w:val="20"/>
          <w:sz w:val="32"/>
          <w:szCs w:val="32"/>
          <w:u w:val="none"/>
        </w:rPr>
        <w:t>吉安开放大学关于加强教学质量保障体系建设的意见</w:t>
      </w:r>
      <w:r>
        <w:rPr>
          <w:rFonts w:hint="eastAsia" w:ascii="仿宋" w:hAnsi="仿宋" w:eastAsia="仿宋" w:cs="仿宋"/>
          <w:b w:val="0"/>
          <w:bCs w:val="0"/>
          <w:sz w:val="32"/>
          <w:szCs w:val="32"/>
          <w:u w:val="none"/>
        </w:rPr>
        <w:t>》《吉安开放大学关于成立教学指导与质量保障委员会的通知》《吉安开放大学教学督导工作管理办法》等一系列制度，构建教学质量保障体系，成立质量管理队伍，开展教育过程监管与督导，有效加强了对开放教育创优提质工程推进的保障作用。</w:t>
      </w:r>
    </w:p>
    <w:p>
      <w:pPr>
        <w:keepNext w:val="0"/>
        <w:keepLines w:val="0"/>
        <w:pageBreakBefore w:val="0"/>
        <w:widowControl/>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4</w:t>
      </w:r>
      <w:r>
        <w:rPr>
          <w:rFonts w:hint="eastAsia" w:ascii="仿宋" w:hAnsi="仿宋" w:eastAsia="仿宋" w:cs="仿宋"/>
          <w:b w:val="0"/>
          <w:bCs w:val="0"/>
          <w:sz w:val="32"/>
          <w:szCs w:val="32"/>
          <w:u w:val="none"/>
        </w:rPr>
        <w:t>）组织所辖办学单位做好年检工作并按要求写好质量发展报告。</w:t>
      </w:r>
    </w:p>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根据省校通知要求及时下发学习中心年检通知进行工作部署；认真做好年检工作，省校评出结果</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优秀单位3个</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良好单位6个</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合格单位5个</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指导所辖学习中心做好发展报告编写工作，下发工作提示进行指导</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各学习中心按时上交发展报告。</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招生管理工作主要体现在：</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lang w:val="en-US" w:eastAsia="zh-CN"/>
        </w:rPr>
        <w:t>1</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招生工作事故责任追究制</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一是落实各项招生管理要求和保障措施，确保招生工作的规范有序，制定“吉安开放大学开放教育招生工作规范”。依据该工作规范，学校对</w:t>
      </w:r>
      <w:r>
        <w:rPr>
          <w:rFonts w:hint="eastAsia" w:ascii="仿宋" w:hAnsi="仿宋" w:eastAsia="仿宋" w:cs="仿宋"/>
          <w:b w:val="0"/>
          <w:bCs w:val="0"/>
          <w:sz w:val="32"/>
          <w:szCs w:val="32"/>
          <w:u w:val="none"/>
          <w:lang w:eastAsia="zh-CN"/>
        </w:rPr>
        <w:t>学习中心（开放学院）</w:t>
      </w:r>
      <w:r>
        <w:rPr>
          <w:rFonts w:hint="eastAsia" w:ascii="仿宋" w:hAnsi="仿宋" w:eastAsia="仿宋" w:cs="仿宋"/>
          <w:b w:val="0"/>
          <w:bCs w:val="0"/>
          <w:sz w:val="32"/>
          <w:szCs w:val="32"/>
          <w:u w:val="none"/>
        </w:rPr>
        <w:t>招生过程中发生的问题将出现一起、查处一起、纠正一起。对问题集中突出、群众反映强烈的，情节恶劣、造成严重社会影响的，特别是影响社会稳定的，将严肃追究责任，取消违规招生单位、责任人、相关人员评优评先资格，限制招生规模、资格。</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rPr>
      </w:pPr>
      <w:r>
        <w:rPr>
          <w:rFonts w:hint="eastAsia" w:ascii="仿宋" w:hAnsi="仿宋" w:eastAsia="仿宋" w:cs="仿宋"/>
          <w:b w:val="0"/>
          <w:bCs w:val="0"/>
          <w:sz w:val="32"/>
          <w:szCs w:val="32"/>
          <w:u w:val="none"/>
        </w:rPr>
        <w:t>二是规范宣传，规范招生，严格审核把关。坚持以办好开放教育为主线，按照国开及省开的要求严格招生人员资格准入制，招生人员全员报备，有违规招生行为的人员取消招生资格。强化对招生人员的纪律要求，不得有违背教育教学规律的承诺，对招生人员的行为监管建立招生台账，对进行虚假承诺的教职工及时处理并上报。严格贯彻落实上级关于规范招生的系列文件精神。</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2</w:t>
      </w:r>
      <w:r>
        <w:rPr>
          <w:rFonts w:hint="eastAsia" w:ascii="仿宋" w:hAnsi="仿宋" w:eastAsia="仿宋" w:cs="仿宋"/>
          <w:b w:val="0"/>
          <w:bCs w:val="0"/>
          <w:sz w:val="32"/>
          <w:szCs w:val="32"/>
          <w:u w:val="none"/>
        </w:rPr>
        <w:t>）招生宣传方案</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每个招生季启动之前，由领导带队下到基层对各县站及招生市场进行前期调研，精准把握招生市场动向，准确实施招生工作措施，以确保规范有序完成招生任务。按照“稳定发展开放教育、规范招生秩序、防控招生风险、服务教学改革”的总思路，坚持稳定发展与规模、质量、效益相统一，为科学编制全市开大系统开放教育招生规划，制定招生宣传方案。</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按照省校文件通知的相关要求，结合办学实际情况，为确保每季开放教育招生工作顺利开展，每季制定招生宣传实施方案，并强化各地对媒体广告的监控，办学单位不得有违规招生广告出现。</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招生简章每季按时在官网公开，并在醒目的宣传栏张贴上级开放大学发放的招生宣传资料及本校制作印制的招生简章。每季招生简章、折页内容规范、真实有效。</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招生简章及招生广告严格按照国开和省校有关政策规定印制。市校对各学习中心媒体广告进行监控，办学单位不得有违规招生广告出现。每季印制的简章都有公示各学习中心办公地址和招生电话，同时招生简章挂学校官网。</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招生工作启动前，制定招生工作实施方案，明确招生任务目标、招生相关政策，制定招生工作措施及详细的招生工作安排。强调招生宣传时不得虚假承诺，严禁招生过程中出现跨区域招生、挂靠注册、与招生中介合作、委托个人和中介机构代理招生、招生乱收费等行为。</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3</w:t>
      </w:r>
      <w:r>
        <w:rPr>
          <w:rFonts w:hint="eastAsia" w:ascii="仿宋" w:hAnsi="仿宋" w:eastAsia="仿宋" w:cs="仿宋"/>
          <w:b w:val="0"/>
          <w:bCs w:val="0"/>
          <w:sz w:val="32"/>
          <w:szCs w:val="32"/>
          <w:u w:val="none"/>
        </w:rPr>
        <w:t>）招生工作领导小组分工负责制</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每年的招生工作，由学校招生工作领导小组指导下进行。在招生过程中实施监控检查，利用实地暗访、电话、微信、网络等多种方法对学习中心招生检查全覆盖。</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在每季招生期间，实行招生工作进度及各种违规招生举报处理周报及日报制度。招生工作过程中出现的问题，及时报告，及时处理解决。</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w:t>
      </w:r>
      <w:r>
        <w:rPr>
          <w:rFonts w:hint="eastAsia" w:ascii="仿宋" w:hAnsi="仿宋" w:eastAsia="仿宋" w:cs="仿宋"/>
          <w:b w:val="0"/>
          <w:bCs w:val="0"/>
          <w:sz w:val="32"/>
          <w:szCs w:val="32"/>
          <w:u w:val="none"/>
          <w:lang w:val="en-US" w:eastAsia="zh-CN"/>
        </w:rPr>
        <w:t>4</w:t>
      </w:r>
      <w:r>
        <w:rPr>
          <w:rFonts w:hint="eastAsia" w:ascii="仿宋" w:hAnsi="仿宋" w:eastAsia="仿宋" w:cs="仿宋"/>
          <w:b w:val="0"/>
          <w:bCs w:val="0"/>
          <w:sz w:val="32"/>
          <w:szCs w:val="32"/>
          <w:u w:val="none"/>
        </w:rPr>
        <w:t>）入学资格审核</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按照要求做好入学资格审核工作。严格审核异地生源，杜绝异地生源报名材料不齐全或不准确现象发生。严禁跨区域招生、挂靠注册等违规办学行为，不得与招生中介合作、委托个人或中介机构代理招生，建立招生违规行为的监督机制。</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①与国家开放大学联动，对异地生源异常现象进行预警，必要时控制招生。</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②严格异地生源入学资格审查、复查，不得招收违规异地生。对不符合要求的异地生源学生一律不予招录，对材料不齐全的学生一律补齐材料才予录入系统。</w:t>
      </w:r>
    </w:p>
    <w:p>
      <w:pPr>
        <w:pStyle w:val="2"/>
        <w:keepNext w:val="0"/>
        <w:keepLines w:val="0"/>
        <w:pageBreakBefore w:val="0"/>
        <w:kinsoku/>
        <w:wordWrap/>
        <w:overflowPunct/>
        <w:topLinePunct w:val="0"/>
        <w:autoSpaceDE/>
        <w:autoSpaceDN/>
        <w:bidi w:val="0"/>
        <w:adjustRightInd/>
        <w:spacing w:after="0"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③对审核不严格的单位，分级督查整改，整改通过方可继续招生。</w:t>
      </w:r>
    </w:p>
    <w:p>
      <w:pPr>
        <w:keepNext w:val="0"/>
        <w:keepLines w:val="0"/>
        <w:pageBreakBefore w:val="0"/>
        <w:widowControl/>
        <w:kinsoku/>
        <w:wordWrap/>
        <w:overflowPunct/>
        <w:topLinePunct w:val="0"/>
        <w:autoSpaceDE/>
        <w:autoSpaceDN/>
        <w:bidi w:val="0"/>
        <w:adjustRightInd/>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招生宣传规范，招生审核严格，2021年度学校招生工作无违规现象。</w:t>
      </w:r>
    </w:p>
    <w:p>
      <w:pPr>
        <w:keepNext w:val="0"/>
        <w:keepLines w:val="0"/>
        <w:pageBreakBefore w:val="0"/>
        <w:kinsoku/>
        <w:wordWrap/>
        <w:overflowPunct/>
        <w:topLinePunct w:val="0"/>
        <w:autoSpaceDE/>
        <w:autoSpaceDN/>
        <w:bidi w:val="0"/>
        <w:adjustRightInd/>
        <w:spacing w:line="500" w:lineRule="exact"/>
        <w:ind w:firstLine="640" w:firstLineChars="200"/>
        <w:jc w:val="both"/>
        <w:textAlignment w:val="auto"/>
        <w:outlineLvl w:val="2"/>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3.信息化和教学资源建设</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pacing w:val="-2"/>
          <w:sz w:val="32"/>
          <w:szCs w:val="32"/>
          <w:u w:val="none"/>
        </w:rPr>
      </w:pPr>
      <w:r>
        <w:rPr>
          <w:rFonts w:hint="eastAsia" w:ascii="仿宋" w:hAnsi="仿宋" w:eastAsia="仿宋" w:cs="仿宋"/>
          <w:b w:val="0"/>
          <w:bCs w:val="0"/>
          <w:sz w:val="32"/>
          <w:szCs w:val="32"/>
          <w:u w:val="none"/>
        </w:rPr>
        <w:t>（1）吉安开放大学积极推进信息化建设工作。一是充分发挥已建信息平台，加强日常信息化管理，保障宣传阵地安全。始终按照上级管理单位开展网络安全和信息化工作要求，深入推进网络生态治理，有效提升网络安全保障能力和信息化管理水平；二是通过广泛宣传并着力提高教职员工对信息化建设重要性的认识，积极鼓励他们参与信息化建设；三是强化了信息化管理，学校在充分利用好网络的同时，要求高度重视要网络的安全，营造网络安全人人有责、人人参与的良好氛围；四是充分发挥网络的使用效益，进一步完善吉安开放大学网站布局和内容，使其</w:t>
      </w:r>
      <w:r>
        <w:rPr>
          <w:rFonts w:hint="eastAsia" w:ascii="仿宋" w:hAnsi="仿宋" w:eastAsia="仿宋" w:cs="仿宋"/>
          <w:b w:val="0"/>
          <w:bCs w:val="0"/>
          <w:sz w:val="32"/>
          <w:szCs w:val="32"/>
          <w:u w:val="none"/>
          <w:lang w:eastAsia="zh-CN"/>
        </w:rPr>
        <w:t>更好地服务</w:t>
      </w:r>
      <w:r>
        <w:rPr>
          <w:rFonts w:hint="eastAsia" w:ascii="仿宋" w:hAnsi="仿宋" w:eastAsia="仿宋" w:cs="仿宋"/>
          <w:b w:val="0"/>
          <w:bCs w:val="0"/>
          <w:sz w:val="32"/>
          <w:szCs w:val="32"/>
          <w:u w:val="none"/>
        </w:rPr>
        <w:t>于教学、服务于学生、服务于教职员工、服务于社会；五是充分利用井冈山大学教学资源库，努力提升吉安开放大学教学过程中技术与课程整合的质量，构建成人教育信息化新特色；六是实行网上办公信息化建设，完善了学校信息传输系统，实现全部由网上发布通知、传送文件，全部实行无纸化办公和网上公文处理，进一步提高办公自动化水平和</w:t>
      </w:r>
      <w:r>
        <w:rPr>
          <w:rFonts w:hint="eastAsia" w:ascii="仿宋" w:hAnsi="仿宋" w:eastAsia="仿宋" w:cs="仿宋"/>
          <w:b w:val="0"/>
          <w:bCs w:val="0"/>
          <w:spacing w:val="-2"/>
          <w:sz w:val="32"/>
          <w:szCs w:val="32"/>
          <w:u w:val="none"/>
        </w:rPr>
        <w:t>办文效率。</w:t>
      </w:r>
    </w:p>
    <w:p>
      <w:pPr>
        <w:pStyle w:val="14"/>
        <w:keepNext w:val="0"/>
        <w:keepLines w:val="0"/>
        <w:pageBreakBefore w:val="0"/>
        <w:kinsoku/>
        <w:wordWrap/>
        <w:overflowPunct/>
        <w:topLinePunct w:val="0"/>
        <w:autoSpaceDE/>
        <w:autoSpaceDN/>
        <w:bidi w:val="0"/>
        <w:adjustRightInd/>
        <w:spacing w:after="0"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自主研发管理平台，信息化管理应用效果好，有创新。龙小建老师自主研发用于开放教育和高职扩招管理的应用平台，在学生注册、选课、成绩管理等教学管理过程中起重要帮助作用；王志民副校长在线与国开党支部通过远程方式开展传承红色基因党课联学活动取得良好的社会效果。</w:t>
      </w:r>
    </w:p>
    <w:p>
      <w:pPr>
        <w:pStyle w:val="14"/>
        <w:keepNext w:val="0"/>
        <w:keepLines w:val="0"/>
        <w:pageBreakBefore w:val="0"/>
        <w:kinsoku/>
        <w:wordWrap/>
        <w:overflowPunct/>
        <w:topLinePunct w:val="0"/>
        <w:autoSpaceDE/>
        <w:autoSpaceDN/>
        <w:bidi w:val="0"/>
        <w:adjustRightInd/>
        <w:spacing w:after="0"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（3）积极与省校开展数字化特色资源共建项目。王志民老师参与省校合作共建完成思政特色数字化学习资源《井冈山精神》。</w:t>
      </w:r>
    </w:p>
    <w:p>
      <w:pPr>
        <w:keepNext w:val="0"/>
        <w:keepLines w:val="0"/>
        <w:pageBreakBefore w:val="0"/>
        <w:kinsoku/>
        <w:wordWrap/>
        <w:overflowPunct/>
        <w:topLinePunct w:val="0"/>
        <w:autoSpaceDE/>
        <w:autoSpaceDN/>
        <w:bidi w:val="0"/>
        <w:adjustRightInd/>
        <w:spacing w:line="500" w:lineRule="exact"/>
        <w:ind w:left="420" w:leftChars="200" w:firstLine="320" w:firstLineChars="100"/>
        <w:jc w:val="both"/>
        <w:textAlignment w:val="auto"/>
        <w:outlineLvl w:val="2"/>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4.学习支持服务和教学过程</w:t>
      </w:r>
    </w:p>
    <w:p>
      <w:pPr>
        <w:keepNext w:val="0"/>
        <w:keepLines w:val="0"/>
        <w:pageBreakBefore w:val="0"/>
        <w:kinsoku/>
        <w:wordWrap/>
        <w:overflowPunct/>
        <w:topLinePunct w:val="0"/>
        <w:autoSpaceDE/>
        <w:autoSpaceDN/>
        <w:bidi w:val="0"/>
        <w:adjustRightInd/>
        <w:snapToGrid w:val="0"/>
        <w:spacing w:line="500" w:lineRule="exact"/>
        <w:ind w:firstLine="640" w:firstLineChars="200"/>
        <w:jc w:val="both"/>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吉安开放大学在“互联网+教育”思想指引下，发挥自身优势，力促教育与信息技术融合，创新教育教学新模式，推进教学和考核方式综合改革，搭建网络学习平台等情况，通过线上教学、面授教学、实践教学各环节落实教学过程，提供支持服务，尽量提高学生的学习成效和满意度。</w:t>
      </w:r>
    </w:p>
    <w:p>
      <w:pPr>
        <w:pStyle w:val="14"/>
        <w:keepNext w:val="0"/>
        <w:keepLines w:val="0"/>
        <w:pageBreakBefore w:val="0"/>
        <w:kinsoku/>
        <w:wordWrap/>
        <w:overflowPunct/>
        <w:topLinePunct w:val="0"/>
        <w:autoSpaceDE/>
        <w:autoSpaceDN/>
        <w:bidi w:val="0"/>
        <w:adjustRightInd/>
        <w:spacing w:after="0" w:line="500" w:lineRule="exact"/>
        <w:ind w:firstLine="640" w:firstLineChars="200"/>
        <w:jc w:val="both"/>
        <w:textAlignment w:val="auto"/>
        <w:rPr>
          <w:rFonts w:ascii="仿宋" w:hAnsi="仿宋" w:eastAsia="仿宋" w:cs="仿宋"/>
          <w:b w:val="0"/>
          <w:bCs w:val="0"/>
          <w:sz w:val="32"/>
          <w:szCs w:val="32"/>
          <w:u w:val="none"/>
        </w:rPr>
      </w:pPr>
      <w:r>
        <w:rPr>
          <w:rFonts w:hint="eastAsia" w:ascii="仿宋" w:hAnsi="仿宋" w:eastAsia="仿宋" w:cs="仿宋"/>
          <w:b w:val="0"/>
          <w:bCs w:val="0"/>
          <w:sz w:val="32"/>
          <w:szCs w:val="32"/>
          <w:u w:val="none"/>
        </w:rPr>
        <w:t>学校专门安排答疑工作责任人，通过各种服务方式和途径与工作站和学生进行答疑</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取得了良好效果。</w:t>
      </w:r>
    </w:p>
    <w:p>
      <w:pPr>
        <w:pStyle w:val="14"/>
        <w:spacing w:after="0" w:line="560" w:lineRule="exact"/>
        <w:ind w:firstLine="560" w:firstLineChars="200"/>
        <w:jc w:val="center"/>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答疑解惑工作安排及效果满意度汇总表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4797"/>
        <w:gridCol w:w="1412"/>
        <w:gridCol w:w="15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项目</w:t>
            </w:r>
          </w:p>
        </w:tc>
        <w:tc>
          <w:tcPr>
            <w:tcW w:w="26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答疑工作及效果</w:t>
            </w:r>
          </w:p>
        </w:tc>
        <w:tc>
          <w:tcPr>
            <w:tcW w:w="77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技术</w:t>
            </w:r>
          </w:p>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支持</w:t>
            </w:r>
          </w:p>
        </w:tc>
        <w:tc>
          <w:tcPr>
            <w:tcW w:w="8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答疑</w:t>
            </w:r>
          </w:p>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责任人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restar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w:t>
            </w: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招生过程中为学生详细解答专业选择的相关问题，学生满意度高。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周萍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continue"/>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给学生详细介绍报名资格及相关注意事项，为学生避免报名中存在的一些常见问题，学生满意度高。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周萍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continue"/>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强调学生报名照片要求，防止报名途中照片不合格的情况，学生满意度高。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周萍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restar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学籍</w:t>
            </w: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学生咨询毕业审核相关问题，予以详细解答，学生满意度高。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郭红英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continue"/>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毕业证照片相关问题及时解答。</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郭红英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restar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网考</w:t>
            </w: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及时通知学生参加考试，且强调带好考试所需工具及证件，学生满意度高。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曹丽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continue"/>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考试复习资料及时发放给学生，学生满意度高。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曹丽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restar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网上</w:t>
            </w:r>
          </w:p>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学习</w:t>
            </w: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督促学生网上学习，学生在网上学习途中所遇问题，及时解答反馈，为学生解决了相关问题，学生满意度高。</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谢文平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3" w:type="pct"/>
            <w:vMerge w:val="continue"/>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2647"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及时通知学生进行网上学习。</w:t>
            </w:r>
          </w:p>
        </w:tc>
        <w:tc>
          <w:tcPr>
            <w:tcW w:w="779"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江燕</w:t>
            </w:r>
          </w:p>
        </w:tc>
        <w:tc>
          <w:tcPr>
            <w:tcW w:w="868" w:type="pct"/>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谢文平</w:t>
            </w:r>
          </w:p>
        </w:tc>
      </w:tr>
    </w:tbl>
    <w:p>
      <w:pPr>
        <w:pStyle w:val="16"/>
        <w:keepNext w:val="0"/>
        <w:keepLines w:val="0"/>
        <w:pageBreakBefore w:val="0"/>
        <w:widowControl/>
        <w:kinsoku/>
        <w:wordWrap/>
        <w:overflowPunct/>
        <w:topLinePunct w:val="0"/>
        <w:autoSpaceDE/>
        <w:autoSpaceDN/>
        <w:bidi w:val="0"/>
        <w:adjustRightInd w:val="0"/>
        <w:snapToGrid w:val="0"/>
        <w:spacing w:line="500" w:lineRule="exact"/>
        <w:ind w:firstLine="0" w:firstLineChars="0"/>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表2-4-4-1</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年度国开学习网教学基本情况</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1711"/>
        <w:gridCol w:w="1622"/>
        <w:gridCol w:w="1479"/>
        <w:gridCol w:w="2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7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学期</w:t>
            </w:r>
          </w:p>
        </w:tc>
        <w:tc>
          <w:tcPr>
            <w:tcW w:w="94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生师比</w:t>
            </w:r>
          </w:p>
        </w:tc>
        <w:tc>
          <w:tcPr>
            <w:tcW w:w="895"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上线学生比例</w:t>
            </w:r>
          </w:p>
        </w:tc>
        <w:tc>
          <w:tcPr>
            <w:tcW w:w="816"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上线教师比例</w:t>
            </w:r>
          </w:p>
        </w:tc>
        <w:tc>
          <w:tcPr>
            <w:tcW w:w="146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网络课程班级辅导教师配置率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79"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春季</w:t>
            </w:r>
          </w:p>
        </w:tc>
        <w:tc>
          <w:tcPr>
            <w:tcW w:w="944"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30.42</w:t>
            </w:r>
          </w:p>
        </w:tc>
        <w:tc>
          <w:tcPr>
            <w:tcW w:w="895"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111.47</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16"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91.97</w:t>
            </w:r>
          </w:p>
        </w:tc>
        <w:tc>
          <w:tcPr>
            <w:tcW w:w="1464"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7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排名</w:t>
            </w:r>
          </w:p>
        </w:tc>
        <w:tc>
          <w:tcPr>
            <w:tcW w:w="944"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95"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1（并列）</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16"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1464"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79"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秋季</w:t>
            </w:r>
          </w:p>
        </w:tc>
        <w:tc>
          <w:tcPr>
            <w:tcW w:w="944"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28.48</w:t>
            </w:r>
          </w:p>
        </w:tc>
        <w:tc>
          <w:tcPr>
            <w:tcW w:w="895"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112.52</w:t>
            </w:r>
          </w:p>
        </w:tc>
        <w:tc>
          <w:tcPr>
            <w:tcW w:w="816"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99.53</w:t>
            </w:r>
          </w:p>
        </w:tc>
        <w:tc>
          <w:tcPr>
            <w:tcW w:w="1464"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7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排名</w:t>
            </w:r>
          </w:p>
        </w:tc>
        <w:tc>
          <w:tcPr>
            <w:tcW w:w="944"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95"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1（并列）</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16"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1464" w:type="pct"/>
            <w:shd w:val="clear" w:color="auto" w:fill="F1F1F1" w:themeFill="background1" w:themeFillShade="F2"/>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r>
    </w:tbl>
    <w:p>
      <w:pPr>
        <w:pStyle w:val="16"/>
        <w:keepNext w:val="0"/>
        <w:keepLines w:val="0"/>
        <w:pageBreakBefore w:val="0"/>
        <w:widowControl/>
        <w:kinsoku/>
        <w:wordWrap/>
        <w:overflowPunct/>
        <w:topLinePunct w:val="0"/>
        <w:autoSpaceDE/>
        <w:autoSpaceDN/>
        <w:bidi w:val="0"/>
        <w:adjustRightInd w:val="0"/>
        <w:snapToGrid w:val="0"/>
        <w:spacing w:line="500" w:lineRule="exact"/>
        <w:ind w:firstLine="0" w:firstLineChars="0"/>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表2-4-4-2</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年度国开学习网教学支持服务情况</w:t>
      </w:r>
    </w:p>
    <w:tbl>
      <w:tblPr>
        <w:tblStyle w:val="11"/>
        <w:tblW w:w="4997" w:type="pct"/>
        <w:jc w:val="center"/>
        <w:tblLayout w:type="autofit"/>
        <w:tblCellMar>
          <w:top w:w="0" w:type="dxa"/>
          <w:left w:w="0" w:type="dxa"/>
          <w:bottom w:w="0" w:type="dxa"/>
          <w:right w:w="0" w:type="dxa"/>
        </w:tblCellMar>
      </w:tblPr>
      <w:tblGrid>
        <w:gridCol w:w="1329"/>
        <w:gridCol w:w="1301"/>
        <w:gridCol w:w="1175"/>
        <w:gridCol w:w="1223"/>
        <w:gridCol w:w="1234"/>
        <w:gridCol w:w="1104"/>
        <w:gridCol w:w="1504"/>
      </w:tblGrid>
      <w:tr>
        <w:tblPrEx>
          <w:tblCellMar>
            <w:top w:w="0" w:type="dxa"/>
            <w:left w:w="0" w:type="dxa"/>
            <w:bottom w:w="0" w:type="dxa"/>
            <w:right w:w="0" w:type="dxa"/>
          </w:tblCellMar>
        </w:tblPrEx>
        <w:trPr>
          <w:trHeight w:val="340" w:hRule="atLeast"/>
          <w:jc w:val="center"/>
        </w:trPr>
        <w:tc>
          <w:tcPr>
            <w:tcW w:w="74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学期</w:t>
            </w:r>
          </w:p>
        </w:tc>
        <w:tc>
          <w:tcPr>
            <w:tcW w:w="733"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学生行</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为总数</w:t>
            </w:r>
          </w:p>
        </w:tc>
        <w:tc>
          <w:tcPr>
            <w:tcW w:w="66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学生在</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线天数</w:t>
            </w:r>
          </w:p>
        </w:tc>
        <w:tc>
          <w:tcPr>
            <w:tcW w:w="68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学生人均在线行为次数</w:t>
            </w:r>
          </w:p>
        </w:tc>
        <w:tc>
          <w:tcPr>
            <w:tcW w:w="695"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教师行</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为总数</w:t>
            </w:r>
          </w:p>
        </w:tc>
        <w:tc>
          <w:tcPr>
            <w:tcW w:w="62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教师在</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线天数</w:t>
            </w:r>
          </w:p>
        </w:tc>
        <w:tc>
          <w:tcPr>
            <w:tcW w:w="847"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教师人均在线行为次数</w:t>
            </w:r>
          </w:p>
        </w:tc>
      </w:tr>
      <w:tr>
        <w:tblPrEx>
          <w:tblCellMar>
            <w:top w:w="0" w:type="dxa"/>
            <w:left w:w="0" w:type="dxa"/>
            <w:bottom w:w="0" w:type="dxa"/>
            <w:right w:w="0" w:type="dxa"/>
          </w:tblCellMar>
        </w:tblPrEx>
        <w:trPr>
          <w:trHeight w:val="340" w:hRule="exact"/>
          <w:jc w:val="center"/>
        </w:trPr>
        <w:tc>
          <w:tcPr>
            <w:tcW w:w="749"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春季</w:t>
            </w:r>
          </w:p>
        </w:tc>
        <w:tc>
          <w:tcPr>
            <w:tcW w:w="733"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12989489</w:t>
            </w:r>
          </w:p>
        </w:tc>
        <w:tc>
          <w:tcPr>
            <w:tcW w:w="662"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213589</w:t>
            </w:r>
          </w:p>
        </w:tc>
        <w:tc>
          <w:tcPr>
            <w:tcW w:w="689"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1190.93</w:t>
            </w:r>
          </w:p>
        </w:tc>
        <w:tc>
          <w:tcPr>
            <w:tcW w:w="695"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1919166</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18302</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47"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5077.16</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r>
      <w:tr>
        <w:tblPrEx>
          <w:tblCellMar>
            <w:top w:w="0" w:type="dxa"/>
            <w:left w:w="0" w:type="dxa"/>
            <w:bottom w:w="0" w:type="dxa"/>
            <w:right w:w="0" w:type="dxa"/>
          </w:tblCellMar>
        </w:tblPrEx>
        <w:trPr>
          <w:trHeight w:val="340" w:hRule="exact"/>
          <w:jc w:val="center"/>
        </w:trPr>
        <w:tc>
          <w:tcPr>
            <w:tcW w:w="74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排名</w:t>
            </w:r>
          </w:p>
        </w:tc>
        <w:tc>
          <w:tcPr>
            <w:tcW w:w="733"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6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8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95"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2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47"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r>
      <w:tr>
        <w:tblPrEx>
          <w:tblCellMar>
            <w:top w:w="0" w:type="dxa"/>
            <w:left w:w="0" w:type="dxa"/>
            <w:bottom w:w="0" w:type="dxa"/>
            <w:right w:w="0" w:type="dxa"/>
          </w:tblCellMar>
        </w:tblPrEx>
        <w:trPr>
          <w:trHeight w:val="340" w:hRule="exact"/>
          <w:jc w:val="center"/>
        </w:trPr>
        <w:tc>
          <w:tcPr>
            <w:tcW w:w="749"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秋季</w:t>
            </w:r>
          </w:p>
        </w:tc>
        <w:tc>
          <w:tcPr>
            <w:tcW w:w="733"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13625287</w:t>
            </w:r>
          </w:p>
        </w:tc>
        <w:tc>
          <w:tcPr>
            <w:tcW w:w="662"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334147</w:t>
            </w:r>
          </w:p>
        </w:tc>
        <w:tc>
          <w:tcPr>
            <w:tcW w:w="689"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1321.82</w:t>
            </w:r>
          </w:p>
        </w:tc>
        <w:tc>
          <w:tcPr>
            <w:tcW w:w="695"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2749607</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25115</w:t>
            </w:r>
          </w:p>
        </w:tc>
        <w:tc>
          <w:tcPr>
            <w:tcW w:w="847" w:type="pct"/>
            <w:tcBorders>
              <w:top w:val="single" w:color="000000" w:sz="4" w:space="0"/>
              <w:left w:val="single" w:color="000000" w:sz="4" w:space="0"/>
              <w:bottom w:val="single" w:color="000000" w:sz="4" w:space="0"/>
              <w:right w:val="single" w:color="000000" w:sz="4" w:space="0"/>
            </w:tcBorders>
            <w:shd w:val="clear" w:color="auto" w:fill="FFFFFF" w:themeFill="background1"/>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6454.48</w:t>
            </w:r>
          </w:p>
        </w:tc>
      </w:tr>
      <w:tr>
        <w:tblPrEx>
          <w:tblCellMar>
            <w:top w:w="0" w:type="dxa"/>
            <w:left w:w="0" w:type="dxa"/>
            <w:bottom w:w="0" w:type="dxa"/>
            <w:right w:w="0" w:type="dxa"/>
          </w:tblCellMar>
        </w:tblPrEx>
        <w:trPr>
          <w:trHeight w:val="340" w:hRule="exact"/>
          <w:jc w:val="center"/>
        </w:trPr>
        <w:tc>
          <w:tcPr>
            <w:tcW w:w="74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排名</w:t>
            </w:r>
          </w:p>
        </w:tc>
        <w:tc>
          <w:tcPr>
            <w:tcW w:w="733"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6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89"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10</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95"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622"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c>
          <w:tcPr>
            <w:tcW w:w="847" w:type="pct"/>
            <w:tcBorders>
              <w:top w:val="single" w:color="000000" w:sz="4" w:space="0"/>
              <w:left w:val="single" w:color="000000" w:sz="4" w:space="0"/>
              <w:bottom w:val="single" w:color="000000" w:sz="4" w:space="0"/>
              <w:right w:val="single" w:color="000000" w:sz="4" w:space="0"/>
            </w:tcBorders>
            <w:shd w:val="clear" w:color="auto" w:fill="F1F1F1" w:themeFill="background1" w:themeFillShade="F2"/>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p>
        </w:tc>
      </w:tr>
    </w:tbl>
    <w:p>
      <w:pPr>
        <w:pStyle w:val="16"/>
        <w:keepNext w:val="0"/>
        <w:keepLines w:val="0"/>
        <w:pageBreakBefore w:val="0"/>
        <w:widowControl/>
        <w:kinsoku/>
        <w:wordWrap/>
        <w:overflowPunct/>
        <w:topLinePunct w:val="0"/>
        <w:autoSpaceDE/>
        <w:autoSpaceDN/>
        <w:bidi w:val="0"/>
        <w:adjustRightInd w:val="0"/>
        <w:snapToGrid w:val="0"/>
        <w:spacing w:line="500" w:lineRule="exact"/>
        <w:ind w:firstLine="0" w:firstLineChars="0"/>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表2-4-4-3</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年度开放教育面授教学基本情况</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1"/>
        <w:gridCol w:w="3079"/>
        <w:gridCol w:w="4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3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学期</w:t>
            </w:r>
          </w:p>
        </w:tc>
        <w:tc>
          <w:tcPr>
            <w:tcW w:w="169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面授辅导课次</w:t>
            </w:r>
          </w:p>
        </w:tc>
        <w:tc>
          <w:tcPr>
            <w:tcW w:w="2261"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学生平均到课率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38" w:type="pct"/>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春季</w:t>
            </w:r>
          </w:p>
        </w:tc>
        <w:tc>
          <w:tcPr>
            <w:tcW w:w="169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690</w:t>
            </w:r>
          </w:p>
        </w:tc>
        <w:tc>
          <w:tcPr>
            <w:tcW w:w="2261"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38" w:type="pct"/>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秋季</w:t>
            </w:r>
          </w:p>
        </w:tc>
        <w:tc>
          <w:tcPr>
            <w:tcW w:w="169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468</w:t>
            </w:r>
          </w:p>
        </w:tc>
        <w:tc>
          <w:tcPr>
            <w:tcW w:w="2261" w:type="pct"/>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93%</w:t>
            </w:r>
          </w:p>
        </w:tc>
      </w:tr>
    </w:tbl>
    <w:p>
      <w:pPr>
        <w:pStyle w:val="16"/>
        <w:keepNext w:val="0"/>
        <w:keepLines w:val="0"/>
        <w:pageBreakBefore w:val="0"/>
        <w:widowControl/>
        <w:kinsoku/>
        <w:wordWrap/>
        <w:overflowPunct/>
        <w:topLinePunct w:val="0"/>
        <w:autoSpaceDE/>
        <w:autoSpaceDN/>
        <w:bidi w:val="0"/>
        <w:adjustRightInd w:val="0"/>
        <w:snapToGrid w:val="0"/>
        <w:spacing w:line="500" w:lineRule="exact"/>
        <w:ind w:firstLine="0" w:firstLineChars="0"/>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表2-4-4-4</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年度开放教育实践教学情况</w:t>
      </w:r>
    </w:p>
    <w:tbl>
      <w:tblPr>
        <w:tblStyle w:val="1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2934"/>
        <w:gridCol w:w="2265"/>
        <w:gridCol w:w="2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1"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学期</w:t>
            </w:r>
          </w:p>
        </w:tc>
        <w:tc>
          <w:tcPr>
            <w:tcW w:w="161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实践基地新增数量</w:t>
            </w:r>
          </w:p>
        </w:tc>
        <w:tc>
          <w:tcPr>
            <w:tcW w:w="1250"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实践基地总数</w:t>
            </w:r>
          </w:p>
        </w:tc>
        <w:tc>
          <w:tcPr>
            <w:tcW w:w="161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开设实践课程数量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1" w:type="pct"/>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春季</w:t>
            </w:r>
          </w:p>
        </w:tc>
        <w:tc>
          <w:tcPr>
            <w:tcW w:w="161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w:t>
            </w:r>
          </w:p>
        </w:tc>
        <w:tc>
          <w:tcPr>
            <w:tcW w:w="1250"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15</w:t>
            </w:r>
          </w:p>
        </w:tc>
        <w:tc>
          <w:tcPr>
            <w:tcW w:w="161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1" w:type="pct"/>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秋季</w:t>
            </w:r>
          </w:p>
        </w:tc>
        <w:tc>
          <w:tcPr>
            <w:tcW w:w="161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0</w:t>
            </w:r>
          </w:p>
        </w:tc>
        <w:tc>
          <w:tcPr>
            <w:tcW w:w="1250"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15</w:t>
            </w:r>
          </w:p>
        </w:tc>
        <w:tc>
          <w:tcPr>
            <w:tcW w:w="1619" w:type="pct"/>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41</w:t>
            </w:r>
          </w:p>
        </w:tc>
      </w:tr>
    </w:tbl>
    <w:p>
      <w:pPr>
        <w:keepNext w:val="0"/>
        <w:keepLines w:val="0"/>
        <w:pageBreakBefore w:val="0"/>
        <w:kinsoku/>
        <w:wordWrap/>
        <w:overflowPunct/>
        <w:topLinePunct w:val="0"/>
        <w:autoSpaceDE/>
        <w:autoSpaceDN/>
        <w:bidi w:val="0"/>
        <w:spacing w:line="500" w:lineRule="exact"/>
        <w:ind w:firstLine="640" w:firstLineChars="200"/>
        <w:jc w:val="both"/>
        <w:outlineLvl w:val="2"/>
        <w:rPr>
          <w:rFonts w:ascii="仿宋" w:hAnsi="仿宋" w:eastAsia="仿宋" w:cs="仿宋"/>
          <w:b w:val="0"/>
          <w:bCs w:val="0"/>
          <w:sz w:val="32"/>
          <w:szCs w:val="32"/>
          <w:u w:val="none"/>
        </w:rPr>
      </w:pPr>
      <w:r>
        <w:rPr>
          <w:rFonts w:hint="eastAsia" w:ascii="仿宋" w:hAnsi="仿宋" w:eastAsia="仿宋" w:cs="仿宋"/>
          <w:b w:val="0"/>
          <w:bCs w:val="0"/>
          <w:sz w:val="32"/>
          <w:szCs w:val="32"/>
          <w:u w:val="none"/>
        </w:rPr>
        <w:t>5.考试组织情况</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吉安开放大学</w:t>
      </w:r>
      <w:r>
        <w:rPr>
          <w:rFonts w:ascii="仿宋" w:hAnsi="仿宋" w:eastAsia="仿宋"/>
          <w:b w:val="0"/>
          <w:bCs w:val="0"/>
          <w:sz w:val="32"/>
          <w:szCs w:val="32"/>
          <w:u w:val="none"/>
        </w:rPr>
        <w:t>根据国开和省</w:t>
      </w:r>
      <w:r>
        <w:rPr>
          <w:rFonts w:hint="eastAsia" w:ascii="仿宋" w:hAnsi="仿宋" w:eastAsia="仿宋"/>
          <w:b w:val="0"/>
          <w:bCs w:val="0"/>
          <w:sz w:val="32"/>
          <w:szCs w:val="32"/>
          <w:u w:val="none"/>
        </w:rPr>
        <w:t>校</w:t>
      </w:r>
      <w:r>
        <w:rPr>
          <w:rFonts w:ascii="仿宋" w:hAnsi="仿宋" w:eastAsia="仿宋"/>
          <w:b w:val="0"/>
          <w:bCs w:val="0"/>
          <w:sz w:val="32"/>
          <w:szCs w:val="32"/>
          <w:u w:val="none"/>
        </w:rPr>
        <w:t>的统一部署，落实“治考”要求，进一步强化责任意识、规范意识、风险意识，规范考试工作</w:t>
      </w:r>
      <w:r>
        <w:rPr>
          <w:rFonts w:hint="eastAsia" w:ascii="仿宋" w:hAnsi="仿宋" w:eastAsia="仿宋"/>
          <w:b w:val="0"/>
          <w:bCs w:val="0"/>
          <w:sz w:val="32"/>
          <w:szCs w:val="32"/>
          <w:u w:val="none"/>
        </w:rPr>
        <w:t>。</w:t>
      </w:r>
      <w:r>
        <w:rPr>
          <w:rFonts w:ascii="仿宋" w:hAnsi="仿宋" w:eastAsia="仿宋"/>
          <w:b w:val="0"/>
          <w:bCs w:val="0"/>
          <w:sz w:val="32"/>
          <w:szCs w:val="32"/>
          <w:u w:val="none"/>
        </w:rPr>
        <w:t>主要做法：</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ascii="仿宋" w:hAnsi="仿宋" w:eastAsia="仿宋"/>
          <w:b w:val="0"/>
          <w:bCs w:val="0"/>
          <w:sz w:val="32"/>
          <w:szCs w:val="32"/>
          <w:u w:val="none"/>
        </w:rPr>
        <w:t>一是</w:t>
      </w:r>
      <w:r>
        <w:rPr>
          <w:rFonts w:hint="eastAsia" w:ascii="仿宋" w:hAnsi="仿宋" w:eastAsia="仿宋"/>
          <w:b w:val="0"/>
          <w:bCs w:val="0"/>
          <w:sz w:val="32"/>
          <w:szCs w:val="32"/>
          <w:u w:val="none"/>
        </w:rPr>
        <w:t>向</w:t>
      </w:r>
      <w:r>
        <w:rPr>
          <w:rFonts w:hint="eastAsia" w:ascii="仿宋" w:hAnsi="仿宋" w:eastAsia="仿宋"/>
          <w:b w:val="0"/>
          <w:bCs w:val="0"/>
          <w:sz w:val="32"/>
          <w:szCs w:val="32"/>
          <w:u w:val="none"/>
          <w:lang w:eastAsia="zh-CN"/>
        </w:rPr>
        <w:t>学习中心（开放学院）</w:t>
      </w:r>
      <w:r>
        <w:rPr>
          <w:rFonts w:ascii="仿宋" w:hAnsi="仿宋" w:eastAsia="仿宋"/>
          <w:b w:val="0"/>
          <w:bCs w:val="0"/>
          <w:sz w:val="32"/>
          <w:szCs w:val="32"/>
          <w:u w:val="none"/>
        </w:rPr>
        <w:t>下发《期末考试重点工作清单》，要求各考点必须严格执行</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签订《考试安全承诺书》，力促责任落实到人。</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ascii="仿宋" w:hAnsi="仿宋" w:eastAsia="仿宋"/>
          <w:b w:val="0"/>
          <w:bCs w:val="0"/>
          <w:sz w:val="32"/>
          <w:szCs w:val="32"/>
          <w:u w:val="none"/>
        </w:rPr>
        <w:t>二是考前召开考点巡蹲考人员、所辖县考点考务负责人、校本部考试工作人员等专题培训会，</w:t>
      </w:r>
      <w:r>
        <w:rPr>
          <w:rFonts w:hint="eastAsia" w:ascii="仿宋" w:hAnsi="仿宋" w:eastAsia="仿宋"/>
          <w:b w:val="0"/>
          <w:bCs w:val="0"/>
          <w:sz w:val="32"/>
          <w:szCs w:val="32"/>
          <w:u w:val="none"/>
        </w:rPr>
        <w:t>认真</w:t>
      </w:r>
      <w:r>
        <w:rPr>
          <w:rFonts w:ascii="仿宋" w:hAnsi="仿宋" w:eastAsia="仿宋"/>
          <w:b w:val="0"/>
          <w:bCs w:val="0"/>
          <w:sz w:val="32"/>
          <w:szCs w:val="32"/>
          <w:u w:val="none"/>
        </w:rPr>
        <w:t>传达国开、省</w:t>
      </w:r>
      <w:r>
        <w:rPr>
          <w:rFonts w:hint="eastAsia" w:ascii="仿宋" w:hAnsi="仿宋" w:eastAsia="仿宋"/>
          <w:b w:val="0"/>
          <w:bCs w:val="0"/>
          <w:sz w:val="32"/>
          <w:szCs w:val="32"/>
          <w:u w:val="none"/>
        </w:rPr>
        <w:t>校</w:t>
      </w:r>
      <w:r>
        <w:rPr>
          <w:rFonts w:ascii="仿宋" w:hAnsi="仿宋" w:eastAsia="仿宋"/>
          <w:b w:val="0"/>
          <w:bCs w:val="0"/>
          <w:sz w:val="32"/>
          <w:szCs w:val="32"/>
          <w:u w:val="none"/>
        </w:rPr>
        <w:t>考务会议的重要精神，并强调组考过程的注意事项及要求</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巡蹲考人员签订蹲巡考人员责任状；监考人员签订监考人员承诺书</w:t>
      </w:r>
      <w:r>
        <w:rPr>
          <w:rFonts w:hint="eastAsia" w:ascii="仿宋" w:hAnsi="仿宋" w:eastAsia="仿宋"/>
          <w:b w:val="0"/>
          <w:bCs w:val="0"/>
          <w:sz w:val="32"/>
          <w:szCs w:val="32"/>
          <w:u w:val="none"/>
        </w:rPr>
        <w:t>；所有工作人员严格落实持证上岗制度。</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ascii="仿宋" w:hAnsi="仿宋" w:eastAsia="仿宋"/>
          <w:b w:val="0"/>
          <w:bCs w:val="0"/>
          <w:sz w:val="32"/>
          <w:szCs w:val="32"/>
          <w:u w:val="none"/>
        </w:rPr>
        <w:t>三是制定考前责任人，明确工作职责。为</w:t>
      </w:r>
      <w:r>
        <w:rPr>
          <w:rFonts w:hint="eastAsia" w:ascii="仿宋" w:hAnsi="仿宋" w:eastAsia="仿宋"/>
          <w:b w:val="0"/>
          <w:bCs w:val="0"/>
          <w:sz w:val="32"/>
          <w:szCs w:val="32"/>
          <w:u w:val="none"/>
        </w:rPr>
        <w:t>保证</w:t>
      </w:r>
      <w:r>
        <w:rPr>
          <w:rFonts w:ascii="仿宋" w:hAnsi="仿宋" w:eastAsia="仿宋"/>
          <w:b w:val="0"/>
          <w:bCs w:val="0"/>
          <w:sz w:val="32"/>
          <w:szCs w:val="32"/>
          <w:u w:val="none"/>
        </w:rPr>
        <w:t>考试</w:t>
      </w:r>
      <w:r>
        <w:rPr>
          <w:rFonts w:hint="eastAsia" w:ascii="仿宋" w:hAnsi="仿宋" w:eastAsia="仿宋"/>
          <w:b w:val="0"/>
          <w:bCs w:val="0"/>
          <w:sz w:val="32"/>
          <w:szCs w:val="32"/>
          <w:u w:val="none"/>
        </w:rPr>
        <w:t>组织</w:t>
      </w:r>
      <w:r>
        <w:rPr>
          <w:rFonts w:ascii="仿宋" w:hAnsi="仿宋" w:eastAsia="仿宋"/>
          <w:b w:val="0"/>
          <w:bCs w:val="0"/>
          <w:sz w:val="32"/>
          <w:szCs w:val="32"/>
          <w:u w:val="none"/>
        </w:rPr>
        <w:t>工作顺利开展，在监考前制订《吉安开放大学期末考试工作安排表》《吉安开放大学期末考试考务日程安排及工作进度表》，确保相关责任人在考试前期做好准备，履职尽责。</w:t>
      </w:r>
    </w:p>
    <w:p>
      <w:pPr>
        <w:pStyle w:val="10"/>
        <w:keepNext w:val="0"/>
        <w:keepLines w:val="0"/>
        <w:pageBreakBefore w:val="0"/>
        <w:kinsoku/>
        <w:wordWrap/>
        <w:overflowPunct/>
        <w:topLinePunct w:val="0"/>
        <w:autoSpaceDE/>
        <w:autoSpaceDN/>
        <w:bidi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四是</w:t>
      </w:r>
      <w:r>
        <w:rPr>
          <w:rFonts w:hint="eastAsia" w:ascii="仿宋" w:hAnsi="仿宋" w:eastAsia="仿宋" w:cstheme="minorBidi"/>
          <w:b w:val="0"/>
          <w:bCs w:val="0"/>
          <w:sz w:val="32"/>
          <w:szCs w:val="32"/>
          <w:u w:val="none"/>
        </w:rPr>
        <w:t>吉安开放大学实地检查监督各考点期末考试准备情况，重点检查试卷保密室、考场布置、考点布置等情况。</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cstheme="minorBidi"/>
          <w:b w:val="0"/>
          <w:bCs w:val="0"/>
          <w:sz w:val="32"/>
          <w:szCs w:val="32"/>
          <w:u w:val="none"/>
        </w:rPr>
      </w:pPr>
      <w:r>
        <w:rPr>
          <w:rFonts w:hint="eastAsia" w:ascii="仿宋" w:hAnsi="仿宋" w:eastAsia="仿宋"/>
          <w:b w:val="0"/>
          <w:bCs w:val="0"/>
          <w:sz w:val="32"/>
          <w:szCs w:val="32"/>
          <w:u w:val="none"/>
        </w:rPr>
        <w:t>五</w:t>
      </w:r>
      <w:r>
        <w:rPr>
          <w:rFonts w:ascii="仿宋" w:hAnsi="仿宋" w:eastAsia="仿宋"/>
          <w:b w:val="0"/>
          <w:bCs w:val="0"/>
          <w:sz w:val="32"/>
          <w:szCs w:val="32"/>
          <w:u w:val="none"/>
        </w:rPr>
        <w:t>是</w:t>
      </w:r>
      <w:r>
        <w:rPr>
          <w:rFonts w:ascii="仿宋" w:hAnsi="仿宋" w:eastAsia="仿宋" w:cstheme="minorBidi"/>
          <w:b w:val="0"/>
          <w:bCs w:val="0"/>
          <w:sz w:val="32"/>
          <w:szCs w:val="32"/>
          <w:u w:val="none"/>
        </w:rPr>
        <w:t>积极督促考生进行诚信教育网络签名，采取每周通报、公布排名、现场督导等措施，诚信教育网络签</w:t>
      </w:r>
      <w:r>
        <w:rPr>
          <w:rFonts w:hint="eastAsia" w:ascii="仿宋" w:hAnsi="仿宋" w:eastAsia="仿宋" w:cstheme="minorBidi"/>
          <w:b w:val="0"/>
          <w:bCs w:val="0"/>
          <w:sz w:val="32"/>
          <w:szCs w:val="32"/>
          <w:u w:val="none"/>
          <w:lang w:val="en-US" w:eastAsia="zh-CN"/>
        </w:rPr>
        <w:t>名</w:t>
      </w:r>
      <w:r>
        <w:rPr>
          <w:rFonts w:ascii="仿宋" w:hAnsi="仿宋" w:eastAsia="仿宋" w:cstheme="minorBidi"/>
          <w:b w:val="0"/>
          <w:bCs w:val="0"/>
          <w:sz w:val="32"/>
          <w:szCs w:val="32"/>
          <w:u w:val="none"/>
        </w:rPr>
        <w:t>在全省开大排名位列前三。</w:t>
      </w:r>
    </w:p>
    <w:p>
      <w:pPr>
        <w:keepNext w:val="0"/>
        <w:keepLines w:val="0"/>
        <w:pageBreakBefore w:val="0"/>
        <w:kinsoku/>
        <w:wordWrap/>
        <w:overflowPunct/>
        <w:topLinePunct w:val="0"/>
        <w:autoSpaceDE/>
        <w:autoSpaceDN/>
        <w:bidi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六</w:t>
      </w:r>
      <w:r>
        <w:rPr>
          <w:rFonts w:ascii="仿宋" w:hAnsi="仿宋" w:eastAsia="仿宋"/>
          <w:b w:val="0"/>
          <w:bCs w:val="0"/>
          <w:sz w:val="32"/>
          <w:szCs w:val="32"/>
          <w:u w:val="none"/>
        </w:rPr>
        <w:t>是</w:t>
      </w:r>
      <w:r>
        <w:rPr>
          <w:rFonts w:ascii="仿宋" w:hAnsi="仿宋" w:eastAsia="仿宋" w:cstheme="minorBidi"/>
          <w:b w:val="0"/>
          <w:bCs w:val="0"/>
          <w:sz w:val="32"/>
          <w:szCs w:val="32"/>
          <w:u w:val="none"/>
        </w:rPr>
        <w:t>确保复习资料下发到位</w:t>
      </w:r>
      <w:r>
        <w:rPr>
          <w:rFonts w:hint="eastAsia" w:ascii="仿宋" w:hAnsi="仿宋" w:eastAsia="仿宋" w:cstheme="minorBidi"/>
          <w:b w:val="0"/>
          <w:bCs w:val="0"/>
          <w:sz w:val="32"/>
          <w:szCs w:val="32"/>
          <w:u w:val="none"/>
        </w:rPr>
        <w:t>。</w:t>
      </w:r>
      <w:r>
        <w:rPr>
          <w:rFonts w:ascii="仿宋" w:hAnsi="仿宋" w:eastAsia="仿宋" w:cstheme="minorBidi"/>
          <w:b w:val="0"/>
          <w:bCs w:val="0"/>
          <w:sz w:val="32"/>
          <w:szCs w:val="32"/>
          <w:u w:val="none"/>
        </w:rPr>
        <w:t>及时下发考试复习资料，并定期抽查</w:t>
      </w:r>
      <w:r>
        <w:rPr>
          <w:rFonts w:hint="eastAsia" w:ascii="仿宋" w:hAnsi="仿宋" w:eastAsia="仿宋" w:cstheme="minorBidi"/>
          <w:b w:val="0"/>
          <w:bCs w:val="0"/>
          <w:sz w:val="32"/>
          <w:szCs w:val="32"/>
          <w:u w:val="none"/>
        </w:rPr>
        <w:t>督促</w:t>
      </w:r>
      <w:r>
        <w:rPr>
          <w:rFonts w:ascii="仿宋" w:hAnsi="仿宋" w:eastAsia="仿宋" w:cstheme="minorBidi"/>
          <w:b w:val="0"/>
          <w:bCs w:val="0"/>
          <w:sz w:val="32"/>
          <w:szCs w:val="32"/>
          <w:u w:val="none"/>
        </w:rPr>
        <w:t>下发</w:t>
      </w:r>
      <w:r>
        <w:rPr>
          <w:rFonts w:hint="eastAsia" w:ascii="仿宋" w:hAnsi="仿宋" w:eastAsia="仿宋" w:cstheme="minorBidi"/>
          <w:b w:val="0"/>
          <w:bCs w:val="0"/>
          <w:sz w:val="32"/>
          <w:szCs w:val="32"/>
          <w:u w:val="none"/>
        </w:rPr>
        <w:t>到位</w:t>
      </w:r>
      <w:r>
        <w:rPr>
          <w:rFonts w:ascii="仿宋" w:hAnsi="仿宋" w:eastAsia="仿宋" w:cstheme="minorBidi"/>
          <w:b w:val="0"/>
          <w:bCs w:val="0"/>
          <w:sz w:val="32"/>
          <w:szCs w:val="32"/>
          <w:u w:val="none"/>
        </w:rPr>
        <w:t>情况。</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七</w:t>
      </w:r>
      <w:r>
        <w:rPr>
          <w:rFonts w:ascii="仿宋" w:hAnsi="仿宋" w:eastAsia="仿宋"/>
          <w:b w:val="0"/>
          <w:bCs w:val="0"/>
          <w:sz w:val="32"/>
          <w:szCs w:val="32"/>
          <w:u w:val="none"/>
        </w:rPr>
        <w:t>是严禁考生违规携带手机等通讯工具进入考场参加考试；在考试时间内，考生与监考人员必须将手机等通讯工具放置在考场手机袋等指定位置内</w:t>
      </w:r>
      <w:r>
        <w:rPr>
          <w:rFonts w:hint="eastAsia" w:ascii="仿宋" w:hAnsi="仿宋" w:eastAsia="仿宋"/>
          <w:b w:val="0"/>
          <w:bCs w:val="0"/>
          <w:sz w:val="32"/>
          <w:szCs w:val="32"/>
          <w:u w:val="none"/>
        </w:rPr>
        <w:t>，</w:t>
      </w:r>
      <w:r>
        <w:rPr>
          <w:rFonts w:hint="eastAsia" w:ascii="仿宋" w:hAnsi="仿宋" w:eastAsia="仿宋" w:cs="仿宋"/>
          <w:b w:val="0"/>
          <w:bCs w:val="0"/>
          <w:sz w:val="32"/>
          <w:szCs w:val="32"/>
          <w:u w:val="none"/>
        </w:rPr>
        <w:t>且手机摄像头倒插在手机袋内。</w:t>
      </w:r>
    </w:p>
    <w:p>
      <w:pPr>
        <w:keepNext w:val="0"/>
        <w:keepLines w:val="0"/>
        <w:pageBreakBefore w:val="0"/>
        <w:kinsoku/>
        <w:wordWrap/>
        <w:overflowPunct/>
        <w:topLinePunct w:val="0"/>
        <w:autoSpaceDE/>
        <w:autoSpaceDN/>
        <w:bidi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八</w:t>
      </w:r>
      <w:r>
        <w:rPr>
          <w:rFonts w:ascii="仿宋" w:hAnsi="仿宋" w:eastAsia="仿宋"/>
          <w:b w:val="0"/>
          <w:bCs w:val="0"/>
          <w:sz w:val="32"/>
          <w:szCs w:val="32"/>
          <w:u w:val="none"/>
        </w:rPr>
        <w:t>是严禁考生“三证”不齐全违规参加考试。</w:t>
      </w:r>
      <w:r>
        <w:rPr>
          <w:rFonts w:hint="eastAsia" w:ascii="仿宋" w:hAnsi="仿宋" w:eastAsia="仿宋" w:cs="仿宋"/>
          <w:b w:val="0"/>
          <w:bCs w:val="0"/>
          <w:sz w:val="32"/>
          <w:szCs w:val="32"/>
          <w:u w:val="none"/>
        </w:rPr>
        <w:t>进入考点，验证人员应用人脸识别设备查验学生身份，确保三证齐全，严防替考人员进入考场。</w:t>
      </w:r>
    </w:p>
    <w:p>
      <w:pPr>
        <w:keepNext w:val="0"/>
        <w:keepLines w:val="0"/>
        <w:pageBreakBefore w:val="0"/>
        <w:kinsoku/>
        <w:wordWrap/>
        <w:overflowPunct/>
        <w:topLinePunct w:val="0"/>
        <w:autoSpaceDE/>
        <w:autoSpaceDN/>
        <w:bidi w:val="0"/>
        <w:snapToGrid w:val="0"/>
        <w:spacing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九</w:t>
      </w:r>
      <w:r>
        <w:rPr>
          <w:rFonts w:ascii="仿宋" w:hAnsi="仿宋" w:eastAsia="仿宋"/>
          <w:b w:val="0"/>
          <w:bCs w:val="0"/>
          <w:sz w:val="32"/>
          <w:szCs w:val="32"/>
          <w:u w:val="none"/>
        </w:rPr>
        <w:t>是依规做实做细考场外围清理与监管工作；严禁无关人员进入划定考场范围内等影响学员正常考试行为。</w:t>
      </w:r>
    </w:p>
    <w:p>
      <w:pPr>
        <w:keepNext w:val="0"/>
        <w:keepLines w:val="0"/>
        <w:pageBreakBefore w:val="0"/>
        <w:kinsoku/>
        <w:wordWrap/>
        <w:overflowPunct/>
        <w:topLinePunct w:val="0"/>
        <w:autoSpaceDE/>
        <w:autoSpaceDN/>
        <w:bidi w:val="0"/>
        <w:snapToGrid w:val="0"/>
        <w:spacing w:line="500" w:lineRule="exact"/>
        <w:ind w:firstLine="640" w:firstLineChars="200"/>
        <w:jc w:val="both"/>
        <w:rPr>
          <w:b w:val="0"/>
          <w:bCs w:val="0"/>
          <w:sz w:val="32"/>
          <w:szCs w:val="32"/>
          <w:u w:val="none"/>
        </w:rPr>
      </w:pPr>
      <w:r>
        <w:rPr>
          <w:rFonts w:ascii="仿宋" w:hAnsi="仿宋" w:eastAsia="仿宋"/>
          <w:b w:val="0"/>
          <w:bCs w:val="0"/>
          <w:sz w:val="32"/>
          <w:szCs w:val="32"/>
          <w:u w:val="none"/>
        </w:rPr>
        <w:t>十是严禁本考区出现有组织替考等违规行为。</w:t>
      </w:r>
    </w:p>
    <w:p>
      <w:pPr>
        <w:pStyle w:val="2"/>
        <w:keepNext w:val="0"/>
        <w:keepLines w:val="0"/>
        <w:pageBreakBefore w:val="0"/>
        <w:shd w:val="clear" w:color="auto" w:fill="FFFFFF" w:themeFill="background1"/>
        <w:kinsoku/>
        <w:wordWrap/>
        <w:overflowPunct/>
        <w:topLinePunct w:val="0"/>
        <w:autoSpaceDE/>
        <w:autoSpaceDN/>
        <w:bidi w:val="0"/>
        <w:spacing w:after="0" w:line="500" w:lineRule="exact"/>
        <w:ind w:firstLine="640" w:firstLineChars="200"/>
        <w:jc w:val="both"/>
        <w:rPr>
          <w:rFonts w:ascii="仿宋" w:hAnsi="仿宋" w:eastAsia="仿宋" w:cs="宋体"/>
          <w:b w:val="0"/>
          <w:bCs w:val="0"/>
          <w:kern w:val="0"/>
          <w:sz w:val="32"/>
          <w:szCs w:val="32"/>
          <w:u w:val="none"/>
        </w:rPr>
      </w:pPr>
      <w:r>
        <w:rPr>
          <w:rFonts w:hint="eastAsia" w:ascii="仿宋" w:hAnsi="仿宋" w:eastAsia="仿宋" w:cs="宋体"/>
          <w:b w:val="0"/>
          <w:bCs w:val="0"/>
          <w:kern w:val="0"/>
          <w:sz w:val="32"/>
          <w:szCs w:val="32"/>
          <w:u w:val="none"/>
        </w:rPr>
        <w:t>省校飞巡组巡考对</w:t>
      </w:r>
      <w:r>
        <w:rPr>
          <w:rFonts w:hint="eastAsia" w:ascii="仿宋" w:hAnsi="仿宋" w:eastAsia="仿宋"/>
          <w:b w:val="0"/>
          <w:bCs w:val="0"/>
          <w:sz w:val="32"/>
          <w:szCs w:val="32"/>
          <w:u w:val="none"/>
        </w:rPr>
        <w:t>2021春、秋</w:t>
      </w:r>
      <w:r>
        <w:rPr>
          <w:rFonts w:hint="eastAsia" w:ascii="仿宋" w:hAnsi="仿宋" w:eastAsia="仿宋" w:cs="宋体"/>
          <w:b w:val="0"/>
          <w:bCs w:val="0"/>
          <w:kern w:val="0"/>
          <w:sz w:val="32"/>
          <w:szCs w:val="32"/>
          <w:u w:val="none"/>
        </w:rPr>
        <w:t>季考试工作进行检查，情况</w:t>
      </w:r>
      <w:r>
        <w:rPr>
          <w:rFonts w:hint="eastAsia" w:ascii="仿宋" w:hAnsi="仿宋" w:eastAsia="仿宋"/>
          <w:b w:val="0"/>
          <w:bCs w:val="0"/>
          <w:sz w:val="32"/>
          <w:szCs w:val="32"/>
          <w:u w:val="none"/>
        </w:rPr>
        <w:t>正常</w:t>
      </w:r>
      <w:r>
        <w:rPr>
          <w:rFonts w:hint="eastAsia" w:ascii="仿宋" w:hAnsi="仿宋" w:eastAsia="仿宋" w:cs="宋体"/>
          <w:b w:val="0"/>
          <w:bCs w:val="0"/>
          <w:kern w:val="0"/>
          <w:sz w:val="32"/>
          <w:szCs w:val="32"/>
          <w:u w:val="none"/>
        </w:rPr>
        <w:t>。学校严格按照国开、省校要求组织各项考试工作，2021年春季、秋季考试工作没有出现违规违纪事件。省飞巡组对吉水县宏成职业培训学校考点、永丰县职业</w:t>
      </w:r>
      <w:r>
        <w:rPr>
          <w:rFonts w:hint="eastAsia" w:ascii="仿宋" w:hAnsi="仿宋" w:eastAsia="仿宋" w:cs="宋体"/>
          <w:b w:val="0"/>
          <w:bCs w:val="0"/>
          <w:kern w:val="0"/>
          <w:sz w:val="32"/>
          <w:szCs w:val="32"/>
          <w:u w:val="none"/>
          <w:lang w:eastAsia="zh-CN"/>
        </w:rPr>
        <w:t>中等专业</w:t>
      </w:r>
      <w:r>
        <w:rPr>
          <w:rFonts w:hint="eastAsia" w:ascii="仿宋" w:hAnsi="仿宋" w:eastAsia="仿宋" w:cs="宋体"/>
          <w:b w:val="0"/>
          <w:bCs w:val="0"/>
          <w:kern w:val="0"/>
          <w:sz w:val="32"/>
          <w:szCs w:val="32"/>
          <w:u w:val="none"/>
        </w:rPr>
        <w:t>学校等考点进行</w:t>
      </w:r>
      <w:r>
        <w:rPr>
          <w:rFonts w:hint="eastAsia" w:ascii="仿宋" w:hAnsi="仿宋" w:eastAsia="仿宋" w:cs="宋体"/>
          <w:b w:val="0"/>
          <w:bCs w:val="0"/>
          <w:kern w:val="0"/>
          <w:sz w:val="32"/>
          <w:szCs w:val="32"/>
          <w:u w:val="none"/>
          <w:lang w:val="en-US" w:eastAsia="zh-CN"/>
        </w:rPr>
        <w:t>了</w:t>
      </w:r>
      <w:r>
        <w:rPr>
          <w:rFonts w:hint="eastAsia" w:ascii="仿宋" w:hAnsi="仿宋" w:eastAsia="仿宋" w:cs="宋体"/>
          <w:b w:val="0"/>
          <w:bCs w:val="0"/>
          <w:kern w:val="0"/>
          <w:sz w:val="32"/>
          <w:szCs w:val="32"/>
          <w:u w:val="none"/>
        </w:rPr>
        <w:t>巡视，对试卷保密室等相关问题提出了意见并要求整改。</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表2-4-5</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年度开放教育考试情况</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9"/>
        <w:gridCol w:w="1789"/>
        <w:gridCol w:w="1955"/>
        <w:gridCol w:w="1948"/>
        <w:gridCol w:w="1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exact"/>
          <w:jc w:val="center"/>
        </w:trPr>
        <w:tc>
          <w:tcPr>
            <w:tcW w:w="83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学期</w:t>
            </w:r>
          </w:p>
        </w:tc>
        <w:tc>
          <w:tcPr>
            <w:tcW w:w="987"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实考人数</w:t>
            </w:r>
          </w:p>
        </w:tc>
        <w:tc>
          <w:tcPr>
            <w:tcW w:w="1079"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实考率</w:t>
            </w:r>
          </w:p>
        </w:tc>
        <w:tc>
          <w:tcPr>
            <w:tcW w:w="1075"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合格人数</w:t>
            </w:r>
          </w:p>
        </w:tc>
        <w:tc>
          <w:tcPr>
            <w:tcW w:w="101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合格率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3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春季</w:t>
            </w:r>
          </w:p>
        </w:tc>
        <w:tc>
          <w:tcPr>
            <w:tcW w:w="987"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58112</w:t>
            </w:r>
          </w:p>
        </w:tc>
        <w:tc>
          <w:tcPr>
            <w:tcW w:w="1079"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98.38%</w:t>
            </w:r>
          </w:p>
        </w:tc>
        <w:tc>
          <w:tcPr>
            <w:tcW w:w="1075"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49770</w:t>
            </w:r>
          </w:p>
        </w:tc>
        <w:tc>
          <w:tcPr>
            <w:tcW w:w="1018"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83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秋季</w:t>
            </w:r>
          </w:p>
        </w:tc>
        <w:tc>
          <w:tcPr>
            <w:tcW w:w="987"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56757</w:t>
            </w:r>
          </w:p>
        </w:tc>
        <w:tc>
          <w:tcPr>
            <w:tcW w:w="1079"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97.58%</w:t>
            </w:r>
          </w:p>
        </w:tc>
        <w:tc>
          <w:tcPr>
            <w:tcW w:w="1075"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51179</w:t>
            </w:r>
          </w:p>
        </w:tc>
        <w:tc>
          <w:tcPr>
            <w:tcW w:w="1018" w:type="pct"/>
            <w:shd w:val="clear" w:color="auto" w:fill="FFFFFF" w:themeFill="background1"/>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95.02%</w:t>
            </w:r>
          </w:p>
        </w:tc>
      </w:tr>
    </w:tbl>
    <w:p>
      <w:pPr>
        <w:keepNext w:val="0"/>
        <w:keepLines w:val="0"/>
        <w:pageBreakBefore w:val="0"/>
        <w:kinsoku/>
        <w:wordWrap/>
        <w:overflowPunct/>
        <w:topLinePunct w:val="0"/>
        <w:autoSpaceDE/>
        <w:autoSpaceDN/>
        <w:bidi w:val="0"/>
        <w:spacing w:line="500" w:lineRule="exact"/>
        <w:ind w:firstLine="640" w:firstLineChars="200"/>
        <w:outlineLvl w:val="2"/>
        <w:rPr>
          <w:rFonts w:ascii="仿宋" w:hAnsi="仿宋" w:eastAsia="仿宋" w:cs="仿宋"/>
          <w:b w:val="0"/>
          <w:bCs w:val="0"/>
          <w:sz w:val="32"/>
          <w:szCs w:val="32"/>
          <w:u w:val="none"/>
        </w:rPr>
      </w:pPr>
      <w:r>
        <w:rPr>
          <w:rFonts w:hint="eastAsia" w:ascii="仿宋" w:hAnsi="仿宋" w:eastAsia="仿宋" w:cs="仿宋"/>
          <w:b w:val="0"/>
          <w:bCs w:val="0"/>
          <w:sz w:val="32"/>
          <w:szCs w:val="32"/>
          <w:u w:val="none"/>
        </w:rPr>
        <w:t>6.教学检查结果</w:t>
      </w:r>
    </w:p>
    <w:p>
      <w:pPr>
        <w:pStyle w:val="16"/>
        <w:keepNext w:val="0"/>
        <w:keepLines w:val="0"/>
        <w:pageBreakBefore w:val="0"/>
        <w:kinsoku/>
        <w:wordWrap/>
        <w:overflowPunct/>
        <w:topLinePunct w:val="0"/>
        <w:autoSpaceDE/>
        <w:autoSpaceDN/>
        <w:bidi w:val="0"/>
        <w:spacing w:line="500" w:lineRule="exact"/>
        <w:ind w:firstLine="640"/>
        <w:rPr>
          <w:rFonts w:hint="eastAsia" w:ascii="仿宋" w:hAnsi="仿宋" w:eastAsia="仿宋" w:cs="仿宋"/>
          <w:b w:val="0"/>
          <w:bCs w:val="0"/>
          <w:sz w:val="32"/>
          <w:szCs w:val="32"/>
          <w:u w:val="none"/>
          <w:lang w:eastAsia="zh-CN"/>
        </w:rPr>
      </w:pPr>
      <w:r>
        <w:rPr>
          <w:rFonts w:hint="eastAsia" w:ascii="仿宋" w:hAnsi="仿宋" w:eastAsia="仿宋" w:cs="仿宋"/>
          <w:b w:val="0"/>
          <w:bCs w:val="0"/>
          <w:sz w:val="32"/>
          <w:szCs w:val="32"/>
          <w:u w:val="none"/>
        </w:rPr>
        <w:t>省校综合教学检查的反馈意见</w:t>
      </w:r>
      <w:r>
        <w:rPr>
          <w:rFonts w:hint="eastAsia" w:ascii="仿宋" w:hAnsi="仿宋" w:eastAsia="仿宋" w:cs="仿宋"/>
          <w:b w:val="0"/>
          <w:bCs w:val="0"/>
          <w:sz w:val="32"/>
          <w:szCs w:val="32"/>
          <w:u w:val="none"/>
          <w:lang w:eastAsia="zh-CN"/>
        </w:rPr>
        <w:t>。</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color w:val="auto"/>
          <w:sz w:val="32"/>
          <w:szCs w:val="32"/>
          <w:u w:val="none"/>
        </w:rPr>
        <w:t>①</w:t>
      </w:r>
      <w:r>
        <w:rPr>
          <w:rFonts w:hint="eastAsia" w:ascii="仿宋" w:hAnsi="仿宋" w:eastAsia="仿宋" w:cs="仿宋"/>
          <w:b w:val="0"/>
          <w:bCs w:val="0"/>
          <w:sz w:val="32"/>
          <w:szCs w:val="32"/>
          <w:u w:val="none"/>
        </w:rPr>
        <w:t>亮点：</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b w:val="0"/>
          <w:bCs w:val="0"/>
          <w:sz w:val="32"/>
          <w:szCs w:val="32"/>
          <w:u w:val="none"/>
        </w:rPr>
        <w:t>第一，深入推进思想政治教育。思政教育开启开学第一课。王志民副校长做“弘扬伟大的建党精神 书写华彩青春”为主题的开学第一课。依托井冈山“红色基地”，开展思政实践教学。坚定了理想信念、补充了精神之“钙”、把稳了思想之舵。</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b w:val="0"/>
          <w:bCs w:val="0"/>
          <w:sz w:val="32"/>
          <w:szCs w:val="32"/>
          <w:u w:val="none"/>
        </w:rPr>
        <w:t>第二，规范毕业论文撰写和归档。一是为学生提供2次毕业论文查重机会，严格控制查重率低于30%；二是规范学生毕业论文建档工作。对2016年－2020年的本、专科论文进行了归档整理。</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b w:val="0"/>
          <w:bCs w:val="0"/>
          <w:sz w:val="32"/>
          <w:szCs w:val="32"/>
          <w:u w:val="none"/>
        </w:rPr>
        <w:t>第三，信息上行反馈通畅。2021年秋季学期，所辖学习中心全部完成课表提交，课表提交率达100%。</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b w:val="0"/>
          <w:bCs w:val="0"/>
          <w:sz w:val="32"/>
          <w:szCs w:val="32"/>
          <w:u w:val="none"/>
        </w:rPr>
        <w:t>第四，积极探索社区教育。进行了老年人护理培训、茶艺培训等，迈开了由文凭提升向技能提高转变的第一步。</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szCs w:val="32"/>
          <w:u w:val="none"/>
        </w:rPr>
      </w:pPr>
      <w:r>
        <w:rPr>
          <w:rFonts w:hint="eastAsia" w:ascii="仿宋" w:hAnsi="仿宋" w:eastAsia="仿宋" w:cs="仿宋"/>
          <w:color w:val="auto"/>
          <w:sz w:val="32"/>
          <w:szCs w:val="32"/>
          <w:u w:val="none"/>
        </w:rPr>
        <w:t>②</w:t>
      </w:r>
      <w:r>
        <w:rPr>
          <w:rFonts w:hint="eastAsia" w:ascii="仿宋" w:hAnsi="仿宋" w:eastAsia="仿宋" w:cs="仿宋"/>
          <w:b w:val="0"/>
          <w:bCs w:val="0"/>
          <w:sz w:val="32"/>
          <w:szCs w:val="32"/>
          <w:u w:val="none"/>
        </w:rPr>
        <w:t>建议：</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u w:val="none"/>
        </w:rPr>
      </w:pPr>
      <w:r>
        <w:rPr>
          <w:rFonts w:hint="eastAsia" w:ascii="仿宋" w:hAnsi="仿宋" w:eastAsia="仿宋" w:cs="仿宋"/>
          <w:b w:val="0"/>
          <w:bCs w:val="0"/>
          <w:sz w:val="32"/>
          <w:u w:val="none"/>
        </w:rPr>
        <w:t>第一，加强教学指导与监控，强化过程管理。对教学工作准备情况、教学资源建设、使用情况和网上教学情况进行检查，督促落实各教学环节工作，加强对教学全过程的指导、监控与管理。精准分析“学生人均在线行为次数”“教师有效行为比例”指标数值偏低的原因，提高教师教学行为的有效性，集中智慧、寻求突破、齐抓共管。</w:t>
      </w:r>
    </w:p>
    <w:p>
      <w:pPr>
        <w:pStyle w:val="16"/>
        <w:keepNext w:val="0"/>
        <w:keepLines w:val="0"/>
        <w:pageBreakBefore w:val="0"/>
        <w:kinsoku/>
        <w:wordWrap/>
        <w:overflowPunct/>
        <w:topLinePunct w:val="0"/>
        <w:autoSpaceDE/>
        <w:autoSpaceDN/>
        <w:bidi w:val="0"/>
        <w:spacing w:line="500" w:lineRule="exact"/>
        <w:ind w:firstLine="640"/>
        <w:rPr>
          <w:rFonts w:ascii="仿宋" w:hAnsi="仿宋" w:eastAsia="仿宋" w:cs="仿宋"/>
          <w:b w:val="0"/>
          <w:bCs w:val="0"/>
          <w:sz w:val="32"/>
          <w:u w:val="none"/>
        </w:rPr>
      </w:pPr>
      <w:r>
        <w:rPr>
          <w:rFonts w:hint="eastAsia" w:ascii="仿宋" w:hAnsi="仿宋" w:eastAsia="仿宋" w:cs="仿宋"/>
          <w:b w:val="0"/>
          <w:bCs w:val="0"/>
          <w:sz w:val="32"/>
          <w:u w:val="none"/>
        </w:rPr>
        <w:t>第二，提升教材征订率，提供好教学支持服务。</w:t>
      </w:r>
    </w:p>
    <w:p>
      <w:pPr>
        <w:pStyle w:val="16"/>
        <w:keepNext w:val="0"/>
        <w:keepLines w:val="0"/>
        <w:pageBreakBefore w:val="0"/>
        <w:kinsoku/>
        <w:wordWrap/>
        <w:overflowPunct/>
        <w:topLinePunct w:val="0"/>
        <w:autoSpaceDE/>
        <w:autoSpaceDN/>
        <w:bidi w:val="0"/>
        <w:spacing w:line="500" w:lineRule="exact"/>
        <w:ind w:firstLine="640"/>
        <w:rPr>
          <w:b w:val="0"/>
          <w:bCs w:val="0"/>
          <w:u w:val="none"/>
        </w:rPr>
      </w:pPr>
      <w:r>
        <w:rPr>
          <w:rFonts w:hint="eastAsia" w:ascii="仿宋" w:hAnsi="仿宋" w:eastAsia="仿宋" w:cs="仿宋"/>
          <w:b w:val="0"/>
          <w:bCs w:val="0"/>
          <w:sz w:val="32"/>
          <w:u w:val="none"/>
        </w:rPr>
        <w:t>第三，依托井冈山“红色基地”，进一步积极组织实践教学活动。</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kern w:val="0"/>
          <w:sz w:val="28"/>
          <w:szCs w:val="28"/>
          <w:u w:val="none"/>
        </w:rPr>
        <w:t>表2-4-6</w:t>
      </w:r>
      <w:r>
        <w:rPr>
          <w:rFonts w:hint="eastAsia" w:ascii="仿宋" w:hAnsi="仿宋" w:eastAsia="仿宋"/>
          <w:b w:val="0"/>
          <w:bCs w:val="0"/>
          <w:sz w:val="28"/>
          <w:szCs w:val="28"/>
          <w:u w:val="none"/>
        </w:rPr>
        <w:t xml:space="preserve"> 2021</w:t>
      </w:r>
      <w:r>
        <w:rPr>
          <w:rFonts w:hint="eastAsia" w:ascii="仿宋" w:hAnsi="仿宋" w:eastAsia="仿宋" w:cs="仿宋"/>
          <w:b w:val="0"/>
          <w:bCs w:val="0"/>
          <w:kern w:val="0"/>
          <w:sz w:val="28"/>
          <w:szCs w:val="28"/>
          <w:u w:val="none"/>
        </w:rPr>
        <w:t>年度国开学习网教学检查排名</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2"/>
        <w:gridCol w:w="2417"/>
        <w:gridCol w:w="2225"/>
        <w:gridCol w:w="2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春季总分</w:t>
            </w:r>
          </w:p>
        </w:tc>
        <w:tc>
          <w:tcPr>
            <w:tcW w:w="1334"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春季排名</w:t>
            </w:r>
          </w:p>
        </w:tc>
        <w:tc>
          <w:tcPr>
            <w:tcW w:w="122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秋季总分</w:t>
            </w:r>
          </w:p>
        </w:tc>
        <w:tc>
          <w:tcPr>
            <w:tcW w:w="1298" w:type="pct"/>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秋季排名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82</w:t>
            </w:r>
          </w:p>
        </w:tc>
        <w:tc>
          <w:tcPr>
            <w:tcW w:w="1334"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22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88</w:t>
            </w:r>
          </w:p>
        </w:tc>
        <w:tc>
          <w:tcPr>
            <w:tcW w:w="1298" w:type="pct"/>
            <w:shd w:val="clear" w:color="auto" w:fill="FFFFFF" w:themeFill="background1"/>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r>
    </w:tbl>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（五）思政教育和学生工作</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做好思政教育和学生工作</w:t>
      </w:r>
      <w:r>
        <w:rPr>
          <w:rFonts w:ascii="仿宋" w:hAnsi="仿宋" w:eastAsia="仿宋"/>
          <w:b w:val="0"/>
          <w:bCs w:val="0"/>
          <w:sz w:val="32"/>
          <w:szCs w:val="32"/>
          <w:u w:val="none"/>
        </w:rPr>
        <w:t>，事关中国特色社会主义事业后继有人，是培养一代又一代社会主义建设者和接班人的重要保障。</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ascii="仿宋" w:hAnsi="仿宋" w:eastAsia="仿宋"/>
          <w:b w:val="0"/>
          <w:bCs w:val="0"/>
          <w:sz w:val="32"/>
          <w:szCs w:val="32"/>
          <w:u w:val="none"/>
        </w:rPr>
        <w:t>吉安</w:t>
      </w:r>
      <w:r>
        <w:rPr>
          <w:rFonts w:hint="eastAsia" w:ascii="仿宋" w:hAnsi="仿宋" w:eastAsia="仿宋"/>
          <w:b w:val="0"/>
          <w:bCs w:val="0"/>
          <w:sz w:val="32"/>
          <w:szCs w:val="32"/>
          <w:u w:val="none"/>
        </w:rPr>
        <w:t>开放大学</w:t>
      </w:r>
      <w:r>
        <w:rPr>
          <w:rFonts w:ascii="仿宋" w:hAnsi="仿宋" w:eastAsia="仿宋"/>
          <w:b w:val="0"/>
          <w:bCs w:val="0"/>
          <w:sz w:val="32"/>
          <w:szCs w:val="32"/>
          <w:u w:val="none"/>
        </w:rPr>
        <w:t>秉承红色基因贯穿教学管理全过程信念，将专业精神、职业精神和工匠精神融入人才培养全过程。按照《国家开放大学综合改革方案》《</w:t>
      </w:r>
      <w:r>
        <w:rPr>
          <w:rFonts w:hint="eastAsia" w:ascii="仿宋" w:hAnsi="仿宋" w:eastAsia="仿宋"/>
          <w:b w:val="0"/>
          <w:bCs w:val="0"/>
          <w:sz w:val="32"/>
          <w:szCs w:val="32"/>
          <w:u w:val="none"/>
        </w:rPr>
        <w:t>江西开放大学课程思政建设实施方案</w:t>
      </w:r>
      <w:r>
        <w:rPr>
          <w:rFonts w:ascii="仿宋" w:hAnsi="仿宋" w:eastAsia="仿宋"/>
          <w:b w:val="0"/>
          <w:bCs w:val="0"/>
          <w:sz w:val="32"/>
          <w:szCs w:val="32"/>
          <w:u w:val="none"/>
        </w:rPr>
        <w:t>》要求</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充分利用国家开放大学“思想政治教育基地”和省</w:t>
      </w:r>
      <w:r>
        <w:rPr>
          <w:rFonts w:hint="eastAsia" w:ascii="仿宋" w:hAnsi="仿宋" w:eastAsia="仿宋"/>
          <w:b w:val="0"/>
          <w:bCs w:val="0"/>
          <w:sz w:val="32"/>
          <w:szCs w:val="32"/>
          <w:u w:val="none"/>
        </w:rPr>
        <w:t>开</w:t>
      </w:r>
      <w:r>
        <w:rPr>
          <w:rFonts w:ascii="仿宋" w:hAnsi="仿宋" w:eastAsia="仿宋"/>
          <w:b w:val="0"/>
          <w:bCs w:val="0"/>
          <w:sz w:val="32"/>
          <w:szCs w:val="32"/>
          <w:u w:val="none"/>
        </w:rPr>
        <w:t>“井冈山红色培训教育实践基地”平台，以及雄厚的思政教学力量，全过程、全方位加强思政课教学，将党的教育方针落到实处，全面提升成人学生思想政治教育的效果。主要做法</w:t>
      </w:r>
      <w:r>
        <w:rPr>
          <w:rFonts w:hint="eastAsia" w:ascii="仿宋" w:hAnsi="仿宋" w:eastAsia="仿宋"/>
          <w:b w:val="0"/>
          <w:bCs w:val="0"/>
          <w:sz w:val="32"/>
          <w:szCs w:val="32"/>
          <w:u w:val="none"/>
        </w:rPr>
        <w:t>有</w:t>
      </w:r>
      <w:r>
        <w:rPr>
          <w:rFonts w:ascii="仿宋" w:hAnsi="仿宋" w:eastAsia="仿宋"/>
          <w:b w:val="0"/>
          <w:bCs w:val="0"/>
          <w:sz w:val="32"/>
          <w:szCs w:val="32"/>
          <w:u w:val="none"/>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1.</w:t>
      </w:r>
      <w:r>
        <w:rPr>
          <w:rFonts w:ascii="仿宋" w:hAnsi="仿宋" w:eastAsia="仿宋"/>
          <w:b w:val="0"/>
          <w:bCs w:val="0"/>
          <w:sz w:val="32"/>
          <w:szCs w:val="32"/>
          <w:u w:val="none"/>
        </w:rPr>
        <w:t>组建了一支思政教学团队。“井冈山红色培训教育基地”组建了以井冈山大学校长、国家二级教授、知名专家曾建平为成员的思政教学团队。</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微软雅黑" w:hAnsi="微软雅黑" w:eastAsia="微软雅黑"/>
          <w:b w:val="0"/>
          <w:bCs w:val="0"/>
          <w:sz w:val="32"/>
          <w:szCs w:val="32"/>
          <w:u w:val="none"/>
        </w:rPr>
      </w:pPr>
      <w:r>
        <w:rPr>
          <w:rFonts w:hint="eastAsia" w:ascii="仿宋" w:hAnsi="仿宋" w:eastAsia="仿宋"/>
          <w:b w:val="0"/>
          <w:bCs w:val="0"/>
          <w:sz w:val="32"/>
          <w:szCs w:val="32"/>
          <w:u w:val="none"/>
        </w:rPr>
        <w:t>2.</w:t>
      </w:r>
      <w:r>
        <w:rPr>
          <w:rFonts w:ascii="仿宋" w:hAnsi="仿宋" w:eastAsia="仿宋"/>
          <w:b w:val="0"/>
          <w:bCs w:val="0"/>
          <w:sz w:val="32"/>
          <w:szCs w:val="32"/>
          <w:u w:val="none"/>
        </w:rPr>
        <w:t>明确了新生入校的第一堂必修思政课。新生入校第一堂必修思政课就是赴井冈山大学“井冈山精神”大型展览馆现场教学、安排吉安开放大学学</w:t>
      </w:r>
      <w:r>
        <w:rPr>
          <w:rFonts w:hint="eastAsia" w:ascii="仿宋" w:hAnsi="仿宋" w:eastAsia="仿宋"/>
          <w:b w:val="0"/>
          <w:bCs w:val="0"/>
          <w:sz w:val="32"/>
          <w:szCs w:val="32"/>
          <w:u w:val="none"/>
        </w:rPr>
        <w:t>生</w:t>
      </w:r>
      <w:r>
        <w:rPr>
          <w:rFonts w:ascii="仿宋" w:hAnsi="仿宋" w:eastAsia="仿宋"/>
          <w:b w:val="0"/>
          <w:bCs w:val="0"/>
          <w:sz w:val="32"/>
          <w:szCs w:val="32"/>
          <w:u w:val="none"/>
        </w:rPr>
        <w:t>担任井冈山精神博物馆讲解员</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充分让学生感受到井冈山精神是看得见、摸得着的，进一步让学</w:t>
      </w:r>
      <w:r>
        <w:rPr>
          <w:rFonts w:hint="eastAsia" w:ascii="仿宋" w:hAnsi="仿宋" w:eastAsia="仿宋"/>
          <w:b w:val="0"/>
          <w:bCs w:val="0"/>
          <w:sz w:val="32"/>
          <w:szCs w:val="32"/>
          <w:u w:val="none"/>
        </w:rPr>
        <w:t>生</w:t>
      </w:r>
      <w:r>
        <w:rPr>
          <w:rFonts w:ascii="仿宋" w:hAnsi="仿宋" w:eastAsia="仿宋"/>
          <w:b w:val="0"/>
          <w:bCs w:val="0"/>
          <w:sz w:val="32"/>
          <w:szCs w:val="32"/>
          <w:u w:val="none"/>
        </w:rPr>
        <w:t>通过现场点点滴滴的红色基因，深切感受到井冈山精神的现实指导意义。         </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3.</w:t>
      </w:r>
      <w:r>
        <w:rPr>
          <w:rFonts w:ascii="仿宋" w:hAnsi="仿宋" w:eastAsia="仿宋"/>
          <w:b w:val="0"/>
          <w:bCs w:val="0"/>
          <w:sz w:val="32"/>
          <w:szCs w:val="32"/>
          <w:u w:val="none"/>
        </w:rPr>
        <w:t>借助国家开放大学在吉安开放大学设立“思想政治教育基地”之机，通过组织国家开放大学各分部、学院、学习中心教师等开展传承弘扬红色文化研讨、交流等活动，推动红色文化资源转化为各级各类学校办学育人资源，扎实做好红色文化进校园、进课堂、进头脑工作。             </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b w:val="0"/>
          <w:bCs w:val="0"/>
          <w:sz w:val="32"/>
          <w:szCs w:val="32"/>
          <w:u w:val="none"/>
        </w:rPr>
      </w:pPr>
      <w:r>
        <w:rPr>
          <w:rFonts w:hint="eastAsia" w:ascii="仿宋" w:hAnsi="仿宋" w:eastAsia="仿宋"/>
          <w:b w:val="0"/>
          <w:bCs w:val="0"/>
          <w:sz w:val="32"/>
          <w:szCs w:val="32"/>
          <w:u w:val="none"/>
        </w:rPr>
        <w:t>4.</w:t>
      </w:r>
      <w:r>
        <w:rPr>
          <w:rFonts w:ascii="仿宋" w:hAnsi="仿宋" w:eastAsia="仿宋"/>
          <w:b w:val="0"/>
          <w:bCs w:val="0"/>
          <w:sz w:val="32"/>
          <w:szCs w:val="32"/>
          <w:u w:val="none"/>
        </w:rPr>
        <w:t>制定了“三全育人”工作方案和《新时代爱国主义工作实施方案》</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紧紧围绕立德树人根本任务，加强学生思想教育，思想政治工作贯穿教学、管理，形成全员全过程全方位育人格局</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积极组织开展“新生开学典礼”和“开学第一课”</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扎实</w:t>
      </w:r>
      <w:r>
        <w:rPr>
          <w:rFonts w:hint="eastAsia" w:ascii="仿宋" w:hAnsi="仿宋" w:eastAsia="仿宋"/>
          <w:b w:val="0"/>
          <w:bCs w:val="0"/>
          <w:sz w:val="32"/>
          <w:szCs w:val="32"/>
          <w:u w:val="none"/>
        </w:rPr>
        <w:t>推进</w:t>
      </w:r>
      <w:r>
        <w:rPr>
          <w:rFonts w:ascii="仿宋" w:hAnsi="仿宋" w:eastAsia="仿宋"/>
          <w:b w:val="0"/>
          <w:bCs w:val="0"/>
          <w:sz w:val="32"/>
          <w:szCs w:val="32"/>
          <w:u w:val="none"/>
        </w:rPr>
        <w:t>新生思政教育工作。  </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5.</w:t>
      </w:r>
      <w:r>
        <w:rPr>
          <w:rFonts w:ascii="仿宋" w:hAnsi="仿宋" w:eastAsia="仿宋"/>
          <w:b w:val="0"/>
          <w:bCs w:val="0"/>
          <w:sz w:val="32"/>
          <w:szCs w:val="32"/>
          <w:u w:val="none"/>
        </w:rPr>
        <w:t>积极组织师生参加上级开放大学开展的</w:t>
      </w:r>
      <w:r>
        <w:rPr>
          <w:rFonts w:hint="eastAsia" w:ascii="仿宋" w:hAnsi="仿宋" w:eastAsia="仿宋"/>
          <w:b w:val="0"/>
          <w:bCs w:val="0"/>
          <w:sz w:val="32"/>
          <w:szCs w:val="32"/>
          <w:u w:val="none"/>
        </w:rPr>
        <w:t>“赣鄱学子心向党”等各类思想政治教育</w:t>
      </w:r>
      <w:r>
        <w:rPr>
          <w:rFonts w:ascii="仿宋" w:hAnsi="仿宋" w:eastAsia="仿宋"/>
          <w:b w:val="0"/>
          <w:bCs w:val="0"/>
          <w:sz w:val="32"/>
          <w:szCs w:val="32"/>
          <w:u w:val="none"/>
        </w:rPr>
        <w:t>活动</w:t>
      </w:r>
      <w:r>
        <w:rPr>
          <w:rFonts w:hint="eastAsia" w:ascii="仿宋" w:hAnsi="仿宋" w:eastAsia="仿宋"/>
          <w:b w:val="0"/>
          <w:bCs w:val="0"/>
          <w:sz w:val="32"/>
          <w:szCs w:val="32"/>
          <w:u w:val="none"/>
          <w:lang w:eastAsia="zh-CN"/>
        </w:rPr>
        <w:t>，</w:t>
      </w:r>
      <w:r>
        <w:rPr>
          <w:rFonts w:hint="eastAsia" w:ascii="仿宋" w:hAnsi="仿宋" w:eastAsia="仿宋"/>
          <w:b w:val="0"/>
          <w:bCs w:val="0"/>
          <w:sz w:val="32"/>
          <w:szCs w:val="32"/>
          <w:u w:val="none"/>
        </w:rPr>
        <w:t>并获得不错的成绩</w:t>
      </w:r>
      <w:r>
        <w:rPr>
          <w:rFonts w:ascii="仿宋" w:hAnsi="仿宋" w:eastAsia="仿宋"/>
          <w:b w:val="0"/>
          <w:bCs w:val="0"/>
          <w:sz w:val="32"/>
          <w:szCs w:val="32"/>
          <w:u w:val="none"/>
        </w:rPr>
        <w:t>。</w:t>
      </w:r>
    </w:p>
    <w:p>
      <w:pPr>
        <w:pStyle w:val="14"/>
        <w:keepNext w:val="0"/>
        <w:keepLines w:val="0"/>
        <w:pageBreakBefore w:val="0"/>
        <w:widowControl w:val="0"/>
        <w:kinsoku/>
        <w:wordWrap/>
        <w:overflowPunct/>
        <w:topLinePunct w:val="0"/>
        <w:autoSpaceDE/>
        <w:autoSpaceDN/>
        <w:bidi w:val="0"/>
        <w:spacing w:after="0"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6.积极开展思政课程和课程思政改革探索，并卓有成效。孙昌勇老师的思政课程《思政道德修养与法律基础》教学案例获省校大赛优秀奖，彭娟老师的课程思政《信息技术应用》教学案例获省校大赛三等奖，肖凤教授应省校教务处邀请通过远程方式为全省开大系统护理类、医学类老师做了一场医学类课程思政设计的讲座</w:t>
      </w:r>
      <w:r>
        <w:rPr>
          <w:rFonts w:hint="eastAsia" w:ascii="仿宋" w:hAnsi="仿宋" w:eastAsia="仿宋"/>
          <w:b w:val="0"/>
          <w:bCs w:val="0"/>
          <w:sz w:val="32"/>
          <w:szCs w:val="32"/>
          <w:u w:val="none"/>
          <w:lang w:eastAsia="zh-CN"/>
        </w:rPr>
        <w:t>，</w:t>
      </w:r>
      <w:r>
        <w:rPr>
          <w:rFonts w:hint="eastAsia" w:ascii="仿宋" w:hAnsi="仿宋" w:eastAsia="仿宋"/>
          <w:b w:val="0"/>
          <w:bCs w:val="0"/>
          <w:sz w:val="32"/>
          <w:szCs w:val="32"/>
          <w:u w:val="none"/>
        </w:rPr>
        <w:t>获得一致好评</w:t>
      </w:r>
      <w:r>
        <w:rPr>
          <w:rFonts w:ascii="仿宋" w:hAnsi="仿宋" w:eastAsia="仿宋"/>
          <w:b w:val="0"/>
          <w:bCs w:val="0"/>
          <w:sz w:val="32"/>
          <w:szCs w:val="32"/>
          <w:u w:val="none"/>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b w:val="0"/>
          <w:bCs w:val="0"/>
          <w:sz w:val="32"/>
          <w:szCs w:val="32"/>
          <w:u w:val="none"/>
        </w:rPr>
      </w:pPr>
      <w:r>
        <w:rPr>
          <w:rFonts w:hint="eastAsia" w:ascii="仿宋" w:hAnsi="仿宋" w:eastAsia="仿宋"/>
          <w:b w:val="0"/>
          <w:bCs w:val="0"/>
          <w:sz w:val="32"/>
          <w:szCs w:val="32"/>
          <w:u w:val="none"/>
        </w:rPr>
        <w:t>7.</w:t>
      </w:r>
      <w:r>
        <w:rPr>
          <w:rFonts w:ascii="仿宋" w:hAnsi="仿宋" w:eastAsia="仿宋"/>
          <w:b w:val="0"/>
          <w:bCs w:val="0"/>
          <w:sz w:val="32"/>
          <w:szCs w:val="32"/>
          <w:u w:val="none"/>
        </w:rPr>
        <w:t>学生评优推选工作</w:t>
      </w:r>
      <w:r>
        <w:rPr>
          <w:rFonts w:hint="eastAsia" w:ascii="仿宋" w:hAnsi="仿宋" w:eastAsia="仿宋"/>
          <w:b w:val="0"/>
          <w:bCs w:val="0"/>
          <w:sz w:val="32"/>
          <w:szCs w:val="32"/>
          <w:u w:val="none"/>
        </w:rPr>
        <w:t>有序开展</w:t>
      </w:r>
      <w:r>
        <w:rPr>
          <w:rFonts w:ascii="仿宋" w:hAnsi="仿宋" w:eastAsia="仿宋"/>
          <w:b w:val="0"/>
          <w:bCs w:val="0"/>
          <w:sz w:val="32"/>
          <w:szCs w:val="32"/>
          <w:u w:val="none"/>
        </w:rPr>
        <w:t>，按时上报材料，合格率有保证。</w:t>
      </w:r>
      <w:r>
        <w:rPr>
          <w:rFonts w:hint="eastAsia" w:ascii="仿宋" w:hAnsi="仿宋" w:eastAsia="仿宋"/>
          <w:b w:val="0"/>
          <w:bCs w:val="0"/>
          <w:sz w:val="32"/>
          <w:szCs w:val="32"/>
          <w:u w:val="none"/>
        </w:rPr>
        <w:t>2021年推荐</w:t>
      </w:r>
      <w:r>
        <w:rPr>
          <w:rFonts w:ascii="仿宋" w:hAnsi="仿宋" w:eastAsia="仿宋"/>
          <w:b w:val="0"/>
          <w:bCs w:val="0"/>
          <w:sz w:val="32"/>
          <w:szCs w:val="32"/>
          <w:u w:val="none"/>
        </w:rPr>
        <w:t>国开奖学金</w:t>
      </w:r>
      <w:r>
        <w:rPr>
          <w:rFonts w:hint="eastAsia" w:ascii="仿宋" w:hAnsi="仿宋" w:eastAsia="仿宋"/>
          <w:b w:val="0"/>
          <w:bCs w:val="0"/>
          <w:sz w:val="32"/>
          <w:szCs w:val="32"/>
          <w:u w:val="none"/>
        </w:rPr>
        <w:t>候选人</w:t>
      </w:r>
      <w:r>
        <w:rPr>
          <w:rFonts w:ascii="仿宋" w:hAnsi="仿宋" w:eastAsia="仿宋"/>
          <w:b w:val="0"/>
          <w:bCs w:val="0"/>
          <w:sz w:val="32"/>
          <w:szCs w:val="32"/>
          <w:u w:val="none"/>
        </w:rPr>
        <w:t>52人</w:t>
      </w:r>
      <w:r>
        <w:rPr>
          <w:rFonts w:hint="eastAsia" w:ascii="仿宋" w:hAnsi="仿宋" w:eastAsia="仿宋"/>
          <w:b w:val="0"/>
          <w:bCs w:val="0"/>
          <w:sz w:val="32"/>
          <w:szCs w:val="32"/>
          <w:u w:val="none"/>
        </w:rPr>
        <w:t>、</w:t>
      </w:r>
      <w:r>
        <w:rPr>
          <w:rFonts w:ascii="仿宋" w:hAnsi="仿宋" w:eastAsia="仿宋"/>
          <w:b w:val="0"/>
          <w:bCs w:val="0"/>
          <w:sz w:val="32"/>
          <w:szCs w:val="32"/>
          <w:u w:val="none"/>
        </w:rPr>
        <w:t>江西开放大学“一村一”优秀毕业生候选人</w:t>
      </w:r>
      <w:r>
        <w:rPr>
          <w:rFonts w:hint="eastAsia" w:ascii="仿宋" w:hAnsi="仿宋" w:eastAsia="仿宋"/>
          <w:b w:val="0"/>
          <w:bCs w:val="0"/>
          <w:sz w:val="32"/>
          <w:szCs w:val="32"/>
          <w:u w:val="none"/>
        </w:rPr>
        <w:t>38人、</w:t>
      </w:r>
      <w:r>
        <w:rPr>
          <w:rFonts w:ascii="仿宋" w:hAnsi="仿宋" w:eastAsia="仿宋"/>
          <w:b w:val="0"/>
          <w:bCs w:val="0"/>
          <w:sz w:val="32"/>
          <w:szCs w:val="32"/>
          <w:u w:val="none"/>
        </w:rPr>
        <w:t>优秀学员候选人</w:t>
      </w:r>
      <w:r>
        <w:rPr>
          <w:rFonts w:hint="eastAsia" w:ascii="仿宋" w:hAnsi="仿宋" w:eastAsia="仿宋"/>
          <w:b w:val="0"/>
          <w:bCs w:val="0"/>
          <w:sz w:val="32"/>
          <w:szCs w:val="32"/>
          <w:u w:val="none"/>
        </w:rPr>
        <w:t>37人</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国</w:t>
      </w:r>
      <w:r>
        <w:rPr>
          <w:rFonts w:hint="eastAsia" w:ascii="仿宋" w:hAnsi="仿宋" w:eastAsia="仿宋"/>
          <w:b w:val="0"/>
          <w:bCs w:val="0"/>
          <w:sz w:val="32"/>
          <w:szCs w:val="32"/>
          <w:u w:val="none"/>
        </w:rPr>
        <w:t>开</w:t>
      </w:r>
      <w:r>
        <w:rPr>
          <w:rFonts w:ascii="仿宋" w:hAnsi="仿宋" w:eastAsia="仿宋"/>
          <w:b w:val="0"/>
          <w:bCs w:val="0"/>
          <w:sz w:val="32"/>
          <w:szCs w:val="32"/>
          <w:u w:val="none"/>
        </w:rPr>
        <w:t>优秀毕业生候选人</w:t>
      </w:r>
      <w:r>
        <w:rPr>
          <w:rFonts w:hint="eastAsia" w:ascii="仿宋" w:hAnsi="仿宋" w:eastAsia="仿宋"/>
          <w:b w:val="0"/>
          <w:bCs w:val="0"/>
          <w:sz w:val="32"/>
          <w:szCs w:val="32"/>
          <w:u w:val="none"/>
        </w:rPr>
        <w:t>4人（既定</w:t>
      </w:r>
      <w:r>
        <w:rPr>
          <w:rFonts w:ascii="仿宋" w:hAnsi="仿宋" w:eastAsia="仿宋"/>
          <w:b w:val="0"/>
          <w:bCs w:val="0"/>
          <w:sz w:val="32"/>
          <w:szCs w:val="32"/>
          <w:u w:val="none"/>
        </w:rPr>
        <w:t>3人</w:t>
      </w:r>
      <w:r>
        <w:rPr>
          <w:rFonts w:hint="eastAsia" w:ascii="仿宋" w:hAnsi="仿宋" w:eastAsia="仿宋"/>
          <w:b w:val="0"/>
          <w:bCs w:val="0"/>
          <w:sz w:val="32"/>
          <w:szCs w:val="32"/>
          <w:u w:val="none"/>
          <w:lang w:eastAsia="zh-CN"/>
        </w:rPr>
        <w:t>，</w:t>
      </w:r>
      <w:r>
        <w:rPr>
          <w:rFonts w:ascii="仿宋" w:hAnsi="仿宋" w:eastAsia="仿宋"/>
          <w:b w:val="0"/>
          <w:bCs w:val="0"/>
          <w:sz w:val="32"/>
          <w:szCs w:val="32"/>
          <w:u w:val="none"/>
        </w:rPr>
        <w:t>实际上报</w:t>
      </w:r>
      <w:r>
        <w:rPr>
          <w:rFonts w:hint="eastAsia" w:ascii="仿宋" w:hAnsi="仿宋" w:eastAsia="仿宋"/>
          <w:b w:val="0"/>
          <w:bCs w:val="0"/>
          <w:sz w:val="32"/>
          <w:szCs w:val="32"/>
          <w:u w:val="none"/>
        </w:rPr>
        <w:t>4</w:t>
      </w:r>
      <w:r>
        <w:rPr>
          <w:rFonts w:ascii="仿宋" w:hAnsi="仿宋" w:eastAsia="仿宋"/>
          <w:b w:val="0"/>
          <w:bCs w:val="0"/>
          <w:sz w:val="32"/>
          <w:szCs w:val="32"/>
          <w:u w:val="none"/>
        </w:rPr>
        <w:t>人</w:t>
      </w:r>
      <w:r>
        <w:rPr>
          <w:rFonts w:hint="eastAsia" w:ascii="仿宋" w:hAnsi="仿宋" w:eastAsia="仿宋"/>
          <w:b w:val="0"/>
          <w:bCs w:val="0"/>
          <w:sz w:val="32"/>
          <w:szCs w:val="32"/>
          <w:u w:val="none"/>
        </w:rPr>
        <w:t>）</w:t>
      </w:r>
      <w:r>
        <w:rPr>
          <w:rFonts w:ascii="仿宋" w:hAnsi="仿宋" w:eastAsia="仿宋"/>
          <w:b w:val="0"/>
          <w:bCs w:val="0"/>
          <w:sz w:val="32"/>
          <w:szCs w:val="32"/>
          <w:u w:val="none"/>
        </w:rPr>
        <w:t>。</w:t>
      </w:r>
    </w:p>
    <w:p>
      <w:pPr>
        <w:pStyle w:val="2"/>
        <w:keepNext w:val="0"/>
        <w:keepLines w:val="0"/>
        <w:pageBreakBefore w:val="0"/>
        <w:widowControl w:val="0"/>
        <w:kinsoku/>
        <w:wordWrap/>
        <w:overflowPunct/>
        <w:topLinePunct w:val="0"/>
        <w:autoSpaceDE/>
        <w:autoSpaceDN/>
        <w:bidi w:val="0"/>
        <w:spacing w:after="0" w:line="500" w:lineRule="exact"/>
        <w:ind w:firstLine="640" w:firstLineChars="200"/>
        <w:textAlignment w:val="auto"/>
        <w:rPr>
          <w:rFonts w:ascii="仿宋" w:hAnsi="仿宋" w:eastAsia="仿宋" w:cs="仿宋"/>
          <w:b w:val="0"/>
          <w:bCs w:val="0"/>
          <w:sz w:val="32"/>
          <w:szCs w:val="32"/>
          <w:u w:val="none"/>
        </w:rPr>
      </w:pPr>
      <w:r>
        <w:rPr>
          <w:rFonts w:hint="eastAsia" w:ascii="仿宋" w:hAnsi="仿宋" w:eastAsia="仿宋"/>
          <w:b w:val="0"/>
          <w:bCs w:val="0"/>
          <w:sz w:val="32"/>
          <w:szCs w:val="32"/>
          <w:u w:val="none"/>
        </w:rPr>
        <w:t>2021</w:t>
      </w:r>
      <w:r>
        <w:rPr>
          <w:rFonts w:hint="eastAsia" w:ascii="仿宋" w:hAnsi="仿宋" w:eastAsia="仿宋" w:cs="仿宋"/>
          <w:b w:val="0"/>
          <w:bCs w:val="0"/>
          <w:sz w:val="32"/>
          <w:szCs w:val="32"/>
          <w:u w:val="none"/>
        </w:rPr>
        <w:t>年度吉安开放大学的思政教育与学生工作成果喜人，荣获省校各类奖项20余个，其中：</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cs="仿宋"/>
          <w:b w:val="0"/>
          <w:bCs w:val="0"/>
          <w:sz w:val="32"/>
          <w:szCs w:val="32"/>
          <w:u w:val="none"/>
        </w:rPr>
      </w:pPr>
      <w:r>
        <w:rPr>
          <w:rFonts w:hint="eastAsia" w:ascii="仿宋" w:hAnsi="仿宋" w:eastAsia="仿宋" w:cs="仿宋"/>
          <w:b w:val="0"/>
          <w:bCs w:val="0"/>
          <w:sz w:val="32"/>
          <w:szCs w:val="32"/>
          <w:u w:val="none"/>
        </w:rPr>
        <w:t>1.参加国家开放大学第二届“学习进取 服务患者”护理病例评选活动</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作品获得三等奖</w:t>
      </w:r>
      <w:r>
        <w:rPr>
          <w:rFonts w:hint="eastAsia" w:ascii="仿宋" w:hAnsi="仿宋" w:eastAsia="仿宋" w:cs="仿宋"/>
          <w:b w:val="0"/>
          <w:bCs w:val="0"/>
          <w:sz w:val="32"/>
          <w:szCs w:val="32"/>
          <w:u w:val="none"/>
          <w:lang w:eastAsia="zh-CN"/>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hint="eastAsia" w:eastAsia="仿宋"/>
          <w:b w:val="0"/>
          <w:bCs w:val="0"/>
          <w:sz w:val="32"/>
          <w:szCs w:val="32"/>
          <w:u w:val="none"/>
          <w:lang w:eastAsia="zh-CN"/>
        </w:rPr>
      </w:pPr>
      <w:r>
        <w:rPr>
          <w:rFonts w:hint="eastAsia" w:ascii="仿宋" w:hAnsi="仿宋" w:eastAsia="仿宋" w:cs="仿宋"/>
          <w:b w:val="0"/>
          <w:bCs w:val="0"/>
          <w:sz w:val="32"/>
          <w:szCs w:val="32"/>
          <w:u w:val="none"/>
        </w:rPr>
        <w:t>2.参加江西开放大学开展的“赣鄱学子心向党”系列活动评选中</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集体和个人奖项共获17个</w:t>
      </w:r>
      <w:r>
        <w:rPr>
          <w:rFonts w:hint="eastAsia" w:ascii="仿宋" w:hAnsi="仿宋" w:eastAsia="仿宋" w:cs="仿宋"/>
          <w:b w:val="0"/>
          <w:bCs w:val="0"/>
          <w:sz w:val="32"/>
          <w:szCs w:val="32"/>
          <w:u w:val="none"/>
          <w:lang w:eastAsia="zh-CN"/>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b w:val="0"/>
          <w:bCs w:val="0"/>
          <w:sz w:val="32"/>
          <w:szCs w:val="32"/>
          <w:u w:val="none"/>
        </w:rPr>
      </w:pPr>
      <w:r>
        <w:rPr>
          <w:rFonts w:hint="eastAsia" w:ascii="仿宋" w:hAnsi="仿宋" w:eastAsia="仿宋" w:cs="仿宋"/>
          <w:b w:val="0"/>
          <w:bCs w:val="0"/>
          <w:sz w:val="32"/>
          <w:szCs w:val="32"/>
          <w:u w:val="none"/>
        </w:rPr>
        <w:t>3.参加第七届大学生创新创业大赛</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2个参赛项目分别获得二等奖和优秀奖</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学校获组织奖</w:t>
      </w:r>
      <w:r>
        <w:rPr>
          <w:rFonts w:hint="eastAsia" w:ascii="仿宋" w:hAnsi="仿宋" w:eastAsia="仿宋" w:cs="仿宋"/>
          <w:b w:val="0"/>
          <w:bCs w:val="0"/>
          <w:sz w:val="32"/>
          <w:szCs w:val="32"/>
          <w:u w:val="none"/>
          <w:lang w:eastAsia="zh-CN"/>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b w:val="0"/>
          <w:bCs w:val="0"/>
          <w:sz w:val="32"/>
          <w:szCs w:val="32"/>
          <w:u w:val="none"/>
        </w:rPr>
      </w:pPr>
      <w:r>
        <w:rPr>
          <w:rFonts w:hint="eastAsia" w:ascii="仿宋" w:hAnsi="仿宋" w:eastAsia="仿宋" w:cs="仿宋"/>
          <w:b w:val="0"/>
          <w:bCs w:val="0"/>
          <w:sz w:val="32"/>
          <w:szCs w:val="32"/>
          <w:u w:val="none"/>
          <w:shd w:val="clear" w:color="auto" w:fill="FFFFFF"/>
        </w:rPr>
        <w:t>4.教师参加上级开放大学评比活动获奖</w:t>
      </w:r>
      <w:r>
        <w:rPr>
          <w:rFonts w:hint="eastAsia" w:ascii="仿宋" w:hAnsi="仿宋" w:eastAsia="仿宋" w:cs="仿宋"/>
          <w:b w:val="0"/>
          <w:bCs w:val="0"/>
          <w:sz w:val="32"/>
          <w:szCs w:val="32"/>
          <w:u w:val="none"/>
          <w:shd w:val="clear" w:color="auto" w:fill="FFFFFF"/>
          <w:lang w:eastAsia="zh-CN"/>
        </w:rPr>
        <w:t>：</w:t>
      </w:r>
      <w:r>
        <w:rPr>
          <w:rFonts w:hint="eastAsia" w:ascii="仿宋" w:hAnsi="仿宋" w:eastAsia="仿宋" w:cs="仿宋"/>
          <w:b w:val="0"/>
          <w:bCs w:val="0"/>
          <w:sz w:val="32"/>
          <w:szCs w:val="32"/>
          <w:u w:val="none"/>
        </w:rPr>
        <w:t>尹汉明、方全凤荣获国家开放大学第二届“学习进取 服务患者”护理病例评选优秀指导教师</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 彭娟荣获江西开放大学理工农医类专业课程思政教学案例大赛三等奖</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孙昌勇获江西开放大学人文社科类专业课程思政教学案例大赛优秀奖</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shd w:val="clear" w:color="auto" w:fill="FFFFFF"/>
        </w:rPr>
        <w:t>白竹岚荣获江西开放大学师德先进个人</w:t>
      </w:r>
      <w:r>
        <w:rPr>
          <w:rFonts w:hint="eastAsia" w:ascii="仿宋" w:hAnsi="仿宋" w:eastAsia="仿宋" w:cs="仿宋"/>
          <w:b w:val="0"/>
          <w:bCs w:val="0"/>
          <w:sz w:val="32"/>
          <w:szCs w:val="32"/>
          <w:u w:val="none"/>
          <w:shd w:val="clear" w:color="auto" w:fill="FFFFFF"/>
          <w:lang w:eastAsia="zh-CN"/>
        </w:rPr>
        <w:t>；</w:t>
      </w:r>
      <w:r>
        <w:rPr>
          <w:rFonts w:hint="eastAsia" w:ascii="仿宋" w:hAnsi="仿宋" w:eastAsia="仿宋" w:cs="仿宋"/>
          <w:b w:val="0"/>
          <w:bCs w:val="0"/>
          <w:sz w:val="32"/>
          <w:szCs w:val="32"/>
          <w:u w:val="none"/>
        </w:rPr>
        <w:t>刘云雯获年度优秀教师。</w:t>
      </w:r>
    </w:p>
    <w:p>
      <w:pPr>
        <w:pStyle w:val="2"/>
        <w:keepNext w:val="0"/>
        <w:keepLines w:val="0"/>
        <w:pageBreakBefore w:val="0"/>
        <w:widowControl w:val="0"/>
        <w:numPr>
          <w:ilvl w:val="0"/>
          <w:numId w:val="2"/>
        </w:numPr>
        <w:kinsoku/>
        <w:wordWrap/>
        <w:overflowPunct/>
        <w:topLinePunct w:val="0"/>
        <w:autoSpaceDE/>
        <w:autoSpaceDN/>
        <w:bidi w:val="0"/>
        <w:spacing w:after="0" w:line="500" w:lineRule="exact"/>
        <w:ind w:firstLine="640" w:firstLineChars="200"/>
        <w:textAlignment w:val="auto"/>
        <w:outlineLvl w:val="0"/>
        <w:rPr>
          <w:rFonts w:ascii="黑体" w:hAnsi="黑体" w:eastAsia="黑体" w:cs="黑体"/>
          <w:b w:val="0"/>
          <w:bCs w:val="0"/>
          <w:sz w:val="32"/>
          <w:szCs w:val="32"/>
          <w:u w:val="none"/>
        </w:rPr>
      </w:pPr>
      <w:r>
        <w:rPr>
          <w:rFonts w:hint="eastAsia" w:ascii="黑体" w:hAnsi="黑体" w:eastAsia="黑体" w:cs="黑体"/>
          <w:b w:val="0"/>
          <w:bCs w:val="0"/>
          <w:sz w:val="32"/>
          <w:szCs w:val="32"/>
          <w:u w:val="none"/>
        </w:rPr>
        <w:t>办学条件</w:t>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（一）办学场地与设施</w:t>
      </w:r>
    </w:p>
    <w:p>
      <w:pPr>
        <w:pStyle w:val="2"/>
        <w:keepNext w:val="0"/>
        <w:keepLines w:val="0"/>
        <w:pageBreakBefore w:val="0"/>
        <w:widowControl w:val="0"/>
        <w:kinsoku/>
        <w:wordWrap/>
        <w:overflowPunct/>
        <w:topLinePunct w:val="0"/>
        <w:autoSpaceDE/>
        <w:autoSpaceDN/>
        <w:bidi w:val="0"/>
        <w:adjustRightInd/>
        <w:spacing w:after="0" w:line="500" w:lineRule="exact"/>
        <w:ind w:firstLine="640" w:firstLineChars="200"/>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1.校本部</w:t>
      </w:r>
    </w:p>
    <w:p>
      <w:pPr>
        <w:keepNext w:val="0"/>
        <w:keepLines w:val="0"/>
        <w:pageBreakBefore w:val="0"/>
        <w:widowControl w:val="0"/>
        <w:kinsoku/>
        <w:wordWrap/>
        <w:overflowPunct/>
        <w:topLinePunct w:val="0"/>
        <w:autoSpaceDE/>
        <w:autoSpaceDN/>
        <w:bidi w:val="0"/>
        <w:adjustRightInd/>
        <w:snapToGrid w:val="0"/>
        <w:spacing w:line="500" w:lineRule="exact"/>
        <w:textAlignment w:val="auto"/>
        <w:rPr>
          <w:rFonts w:hint="eastAsia" w:ascii="仿宋" w:hAnsi="仿宋" w:eastAsia="仿宋" w:cs="仿宋"/>
          <w:b w:val="0"/>
          <w:bCs w:val="0"/>
          <w:sz w:val="30"/>
          <w:szCs w:val="30"/>
          <w:u w:val="none"/>
        </w:rPr>
      </w:pPr>
      <w:r>
        <w:rPr>
          <w:rFonts w:hint="eastAsia" w:ascii="仿宋" w:hAnsi="仿宋" w:eastAsia="仿宋" w:cs="仿宋"/>
          <w:b w:val="0"/>
          <w:bCs w:val="0"/>
          <w:sz w:val="32"/>
          <w:szCs w:val="32"/>
          <w:u w:val="none"/>
        </w:rPr>
        <w:t xml:space="preserve">    吉安开放大学</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校本部</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在依托井冈山大学办学平台基础上，拥有独立集中的办学场地（详见以下情况表）。</w:t>
      </w:r>
      <w:r>
        <w:rPr>
          <w:rFonts w:hint="eastAsia" w:ascii="仿宋" w:hAnsi="仿宋" w:eastAsia="仿宋" w:cs="仿宋"/>
          <w:b w:val="0"/>
          <w:bCs w:val="0"/>
          <w:sz w:val="32"/>
          <w:szCs w:val="32"/>
          <w:u w:val="none"/>
          <w:lang w:eastAsia="zh-CN"/>
        </w:rPr>
        <w:t>学</w:t>
      </w:r>
      <w:r>
        <w:rPr>
          <w:rFonts w:hint="eastAsia" w:ascii="仿宋" w:hAnsi="仿宋" w:eastAsia="仿宋" w:cs="仿宋"/>
          <w:b w:val="0"/>
          <w:bCs w:val="0"/>
          <w:sz w:val="32"/>
          <w:szCs w:val="32"/>
          <w:u w:val="none"/>
        </w:rPr>
        <w:t>校充分利用井冈山大学校园主干网络及校园核心机房，配备独立的计算机网络教室，用于教学、实训及考试，配备管理软件和考场监控设备，计算机共220台。</w:t>
      </w:r>
    </w:p>
    <w:p>
      <w:pPr>
        <w:keepNext w:val="0"/>
        <w:keepLines w:val="0"/>
        <w:pageBreakBefore w:val="0"/>
        <w:widowControl w:val="0"/>
        <w:kinsoku/>
        <w:wordWrap/>
        <w:overflowPunct/>
        <w:topLinePunct w:val="0"/>
        <w:autoSpaceDE/>
        <w:autoSpaceDN/>
        <w:bidi w:val="0"/>
        <w:adjustRightInd/>
        <w:snapToGrid w:val="0"/>
        <w:spacing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校本部办学的教室等主要场地情况表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60" w:type="dxa"/>
          <w:bottom w:w="120" w:type="dxa"/>
          <w:right w:w="60" w:type="dxa"/>
        </w:tblCellMar>
      </w:tblPr>
      <w:tblGrid>
        <w:gridCol w:w="990"/>
        <w:gridCol w:w="3656"/>
        <w:gridCol w:w="1728"/>
        <w:gridCol w:w="25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序号</w:t>
            </w:r>
          </w:p>
        </w:tc>
        <w:tc>
          <w:tcPr>
            <w:tcW w:w="2039" w:type="pct"/>
            <w:tcBorders>
              <w:top w:val="single" w:color="000000" w:sz="8" w:space="0"/>
              <w:left w:val="single" w:color="000000" w:sz="8" w:space="0"/>
              <w:bottom w:val="single" w:color="000000" w:sz="8" w:space="0"/>
              <w:right w:val="single" w:color="000000" w:sz="8" w:space="0"/>
            </w:tcBorders>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场地</w:t>
            </w:r>
          </w:p>
        </w:tc>
        <w:tc>
          <w:tcPr>
            <w:tcW w:w="964" w:type="pct"/>
            <w:tcBorders>
              <w:top w:val="single" w:color="000000" w:sz="8" w:space="0"/>
              <w:left w:val="single" w:color="000000" w:sz="8" w:space="0"/>
              <w:bottom w:val="single" w:color="000000" w:sz="8" w:space="0"/>
              <w:right w:val="single" w:color="000000" w:sz="8" w:space="0"/>
            </w:tcBorders>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数量（间）</w:t>
            </w:r>
          </w:p>
        </w:tc>
        <w:tc>
          <w:tcPr>
            <w:tcW w:w="1443" w:type="pct"/>
            <w:tcBorders>
              <w:top w:val="single" w:color="000000" w:sz="8" w:space="0"/>
              <w:left w:val="single" w:color="000000" w:sz="8" w:space="0"/>
              <w:bottom w:val="single" w:color="000000" w:sz="8" w:space="0"/>
              <w:right w:val="single" w:color="000000" w:sz="8" w:space="0"/>
            </w:tcBorders>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面积（平方米）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日常教学与考试的教室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26</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计算机教室（实时联网可远程双向交互教室）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保密室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4</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档案室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办公场所</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22</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758.51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录播室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7</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学术报告厅</w:t>
            </w:r>
            <w:r>
              <w:rPr>
                <w:rFonts w:hint="eastAsia" w:ascii="仿宋" w:hAnsi="仿宋" w:eastAsia="仿宋" w:cs="仿宋"/>
                <w:b w:val="0"/>
                <w:bCs w:val="0"/>
                <w:sz w:val="28"/>
                <w:szCs w:val="28"/>
                <w:u w:val="none"/>
                <w:lang w:eastAsia="zh-CN"/>
              </w:rPr>
              <w:t>（</w:t>
            </w:r>
            <w:r>
              <w:rPr>
                <w:rFonts w:hint="eastAsia" w:ascii="仿宋" w:hAnsi="仿宋" w:eastAsia="仿宋" w:cs="仿宋"/>
                <w:b w:val="0"/>
                <w:bCs w:val="0"/>
                <w:sz w:val="28"/>
                <w:szCs w:val="28"/>
                <w:u w:val="none"/>
              </w:rPr>
              <w:t>教室）</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封闭管理式室外运动球场</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jc w:val="center"/>
        </w:trPr>
        <w:tc>
          <w:tcPr>
            <w:tcW w:w="552"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w:t>
            </w:r>
          </w:p>
        </w:tc>
        <w:tc>
          <w:tcPr>
            <w:tcW w:w="203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室内运动球馆</w:t>
            </w:r>
          </w:p>
        </w:tc>
        <w:tc>
          <w:tcPr>
            <w:tcW w:w="96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144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910</w:t>
            </w:r>
          </w:p>
        </w:tc>
      </w:tr>
    </w:tbl>
    <w:p>
      <w:pPr>
        <w:keepNext w:val="0"/>
        <w:keepLines w:val="0"/>
        <w:pageBreakBefore w:val="0"/>
        <w:widowControl w:val="0"/>
        <w:kinsoku/>
        <w:wordWrap/>
        <w:overflowPunct/>
        <w:topLinePunct w:val="0"/>
        <w:autoSpaceDE/>
        <w:autoSpaceDN/>
        <w:bidi w:val="0"/>
        <w:adjustRightInd/>
        <w:snapToGrid/>
        <w:spacing w:line="500" w:lineRule="exact"/>
        <w:ind w:firstLine="960" w:firstLineChars="300"/>
        <w:textAlignment w:val="auto"/>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2.校外实践基地</w:t>
      </w:r>
    </w:p>
    <w:p>
      <w:pPr>
        <w:widowControl/>
        <w:adjustRightInd w:val="0"/>
        <w:snapToGrid w:val="0"/>
        <w:jc w:val="center"/>
        <w:textAlignment w:val="center"/>
        <w:rPr>
          <w:rFonts w:hint="eastAsia" w:ascii="仿宋" w:hAnsi="仿宋" w:eastAsia="仿宋" w:cs="仿宋"/>
          <w:b w:val="0"/>
          <w:bCs w:val="0"/>
          <w:kern w:val="0"/>
          <w:sz w:val="28"/>
          <w:szCs w:val="28"/>
          <w:u w:val="none"/>
        </w:rPr>
      </w:pPr>
      <w:r>
        <w:rPr>
          <w:rFonts w:hint="eastAsia" w:ascii="仿宋" w:hAnsi="仿宋" w:eastAsia="仿宋" w:cs="仿宋"/>
          <w:b w:val="0"/>
          <w:bCs w:val="0"/>
          <w:sz w:val="32"/>
          <w:szCs w:val="32"/>
          <w:u w:val="none"/>
        </w:rPr>
        <w:drawing>
          <wp:inline distT="0" distB="0" distL="0" distR="0">
            <wp:extent cx="5657850" cy="3810635"/>
            <wp:effectExtent l="0" t="0" r="0" b="184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
                    <a:stretch>
                      <a:fillRect/>
                    </a:stretch>
                  </pic:blipFill>
                  <pic:spPr>
                    <a:xfrm>
                      <a:off x="0" y="0"/>
                      <a:ext cx="5657850" cy="381063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hint="eastAsia" w:ascii="仿宋" w:hAnsi="仿宋" w:eastAsia="仿宋" w:cs="仿宋"/>
          <w:b w:val="0"/>
          <w:bCs w:val="0"/>
          <w:sz w:val="28"/>
          <w:szCs w:val="28"/>
          <w:u w:val="none"/>
        </w:rPr>
      </w:pPr>
      <w:r>
        <w:rPr>
          <w:rFonts w:hint="eastAsia" w:ascii="仿宋" w:hAnsi="仿宋" w:eastAsia="仿宋" w:cs="仿宋"/>
          <w:b w:val="0"/>
          <w:bCs w:val="0"/>
          <w:kern w:val="0"/>
          <w:sz w:val="28"/>
          <w:szCs w:val="28"/>
          <w:u w:val="none"/>
        </w:rPr>
        <w:t>表3-1</w:t>
      </w:r>
      <w:r>
        <w:rPr>
          <w:rFonts w:hint="eastAsia" w:ascii="仿宋" w:hAnsi="仿宋" w:eastAsia="仿宋" w:cs="仿宋"/>
          <w:b w:val="0"/>
          <w:bCs w:val="0"/>
          <w:sz w:val="28"/>
          <w:szCs w:val="28"/>
          <w:u w:val="none"/>
        </w:rPr>
        <w:t xml:space="preserve"> 2021</w:t>
      </w:r>
      <w:r>
        <w:rPr>
          <w:rFonts w:hint="eastAsia" w:ascii="仿宋" w:hAnsi="仿宋" w:eastAsia="仿宋" w:cs="仿宋"/>
          <w:b w:val="0"/>
          <w:bCs w:val="0"/>
          <w:kern w:val="0"/>
          <w:sz w:val="28"/>
          <w:szCs w:val="28"/>
          <w:u w:val="none"/>
        </w:rPr>
        <w:t>年度办学场地与设施</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3"/>
        <w:gridCol w:w="1134"/>
        <w:gridCol w:w="1088"/>
        <w:gridCol w:w="916"/>
        <w:gridCol w:w="907"/>
        <w:gridCol w:w="1197"/>
        <w:gridCol w:w="910"/>
        <w:gridCol w:w="1057"/>
        <w:gridCol w:w="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p>
        </w:tc>
        <w:tc>
          <w:tcPr>
            <w:tcW w:w="626"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办学场地面积（亩）</w:t>
            </w:r>
          </w:p>
        </w:tc>
        <w:tc>
          <w:tcPr>
            <w:tcW w:w="60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办学用房面积（平方米）</w:t>
            </w:r>
          </w:p>
        </w:tc>
        <w:tc>
          <w:tcPr>
            <w:tcW w:w="505"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办学用房生均面积（平方米）</w:t>
            </w:r>
          </w:p>
        </w:tc>
        <w:tc>
          <w:tcPr>
            <w:tcW w:w="50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能容纳30人的教室间数</w:t>
            </w:r>
          </w:p>
        </w:tc>
        <w:tc>
          <w:tcPr>
            <w:tcW w:w="66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在籍生数与教室数比</w:t>
            </w:r>
          </w:p>
        </w:tc>
        <w:tc>
          <w:tcPr>
            <w:tcW w:w="502"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计算机台数</w:t>
            </w:r>
          </w:p>
        </w:tc>
        <w:tc>
          <w:tcPr>
            <w:tcW w:w="583"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在籍生数与计算机数比</w:t>
            </w:r>
          </w:p>
        </w:tc>
        <w:tc>
          <w:tcPr>
            <w:tcW w:w="504"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校外实践基地个数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pct"/>
            <w:shd w:val="clear" w:color="auto" w:fill="FFFFFF" w:themeFill="background1"/>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校本部</w:t>
            </w:r>
          </w:p>
        </w:tc>
        <w:tc>
          <w:tcPr>
            <w:tcW w:w="626"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30</w:t>
            </w:r>
          </w:p>
        </w:tc>
        <w:tc>
          <w:tcPr>
            <w:tcW w:w="600"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16300</w:t>
            </w:r>
          </w:p>
        </w:tc>
        <w:tc>
          <w:tcPr>
            <w:tcW w:w="505"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10.65</w:t>
            </w:r>
          </w:p>
        </w:tc>
        <w:tc>
          <w:tcPr>
            <w:tcW w:w="500"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26</w:t>
            </w:r>
          </w:p>
        </w:tc>
        <w:tc>
          <w:tcPr>
            <w:tcW w:w="660"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58.88:1</w:t>
            </w:r>
          </w:p>
        </w:tc>
        <w:tc>
          <w:tcPr>
            <w:tcW w:w="502"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272</w:t>
            </w:r>
          </w:p>
        </w:tc>
        <w:tc>
          <w:tcPr>
            <w:tcW w:w="583"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5.63:1</w:t>
            </w:r>
          </w:p>
        </w:tc>
        <w:tc>
          <w:tcPr>
            <w:tcW w:w="504" w:type="pct"/>
            <w:shd w:val="clear" w:color="auto" w:fill="FFFFFF" w:themeFill="background1"/>
            <w:vAlign w:val="center"/>
          </w:tcPr>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全省排名</w:t>
            </w:r>
          </w:p>
        </w:tc>
        <w:tc>
          <w:tcPr>
            <w:tcW w:w="626"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3</w:t>
            </w:r>
          </w:p>
        </w:tc>
        <w:tc>
          <w:tcPr>
            <w:tcW w:w="60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2</w:t>
            </w:r>
          </w:p>
        </w:tc>
        <w:tc>
          <w:tcPr>
            <w:tcW w:w="505"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50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8</w:t>
            </w:r>
          </w:p>
        </w:tc>
        <w:tc>
          <w:tcPr>
            <w:tcW w:w="660"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502"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6</w:t>
            </w:r>
          </w:p>
        </w:tc>
        <w:tc>
          <w:tcPr>
            <w:tcW w:w="583"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1</w:t>
            </w:r>
          </w:p>
        </w:tc>
        <w:tc>
          <w:tcPr>
            <w:tcW w:w="504" w:type="pct"/>
            <w:shd w:val="clear" w:color="auto" w:fill="F1F1F1" w:themeFill="background1" w:themeFillShade="F2"/>
            <w:vAlign w:val="center"/>
          </w:tcPr>
          <w:p>
            <w:pPr>
              <w:pStyle w:val="2"/>
              <w:keepNext w:val="0"/>
              <w:keepLines w:val="0"/>
              <w:pageBreakBefore w:val="0"/>
              <w:widowControl w:val="0"/>
              <w:kinsoku/>
              <w:wordWrap/>
              <w:overflowPunct/>
              <w:topLinePunct w:val="0"/>
              <w:autoSpaceDE/>
              <w:autoSpaceDN/>
              <w:bidi w:val="0"/>
              <w:adjustRightInd/>
              <w:spacing w:after="0" w:line="32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rPr>
              <w:t>5</w:t>
            </w:r>
          </w:p>
        </w:tc>
      </w:tr>
    </w:tbl>
    <w:p>
      <w:pPr>
        <w:keepNext w:val="0"/>
        <w:keepLines w:val="0"/>
        <w:pageBreakBefore w:val="0"/>
        <w:kinsoku/>
        <w:wordWrap/>
        <w:overflowPunct/>
        <w:topLinePunct w:val="0"/>
        <w:autoSpaceDE/>
        <w:autoSpaceDN/>
        <w:bidi w:val="0"/>
        <w:adjustRightInd w:val="0"/>
        <w:snapToGrid w:val="0"/>
        <w:spacing w:line="500" w:lineRule="exact"/>
        <w:ind w:firstLine="640" w:firstLineChars="200"/>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（二）师资队伍</w:t>
      </w:r>
    </w:p>
    <w:p>
      <w:pPr>
        <w:keepNext w:val="0"/>
        <w:keepLines w:val="0"/>
        <w:pageBreakBefore w:val="0"/>
        <w:kinsoku/>
        <w:wordWrap/>
        <w:overflowPunct/>
        <w:topLinePunct w:val="0"/>
        <w:autoSpaceDE/>
        <w:autoSpaceDN/>
        <w:bidi w:val="0"/>
        <w:snapToGrid w:val="0"/>
        <w:spacing w:line="500" w:lineRule="exact"/>
        <w:ind w:firstLine="640" w:firstLineChars="200"/>
        <w:rPr>
          <w:rFonts w:ascii="仿宋" w:hAnsi="仿宋" w:eastAsia="仿宋" w:cs="仿宋"/>
          <w:b w:val="0"/>
          <w:bCs w:val="0"/>
          <w:sz w:val="32"/>
          <w:szCs w:val="32"/>
          <w:u w:val="none"/>
        </w:rPr>
      </w:pPr>
      <w:r>
        <w:rPr>
          <w:rFonts w:hint="eastAsia" w:ascii="仿宋" w:hAnsi="仿宋" w:eastAsia="仿宋" w:cs="仿宋"/>
          <w:b w:val="0"/>
          <w:bCs w:val="0"/>
          <w:sz w:val="32"/>
          <w:szCs w:val="32"/>
          <w:u w:val="none"/>
        </w:rPr>
        <w:t>吉安开放大学依托井冈山大学平台，拥有强大的师资队伍，现聘有教师470名，开放教育生师比为25.97：1。其中，385名专职教师（副高级以上职称教师242名，中级职称教师81名，硕士研究生161名）；聘任兼职教师85名。</w:t>
      </w:r>
    </w:p>
    <w:p>
      <w:pPr>
        <w:keepNext w:val="0"/>
        <w:keepLines w:val="0"/>
        <w:pageBreakBefore w:val="0"/>
        <w:kinsoku/>
        <w:wordWrap/>
        <w:overflowPunct/>
        <w:topLinePunct w:val="0"/>
        <w:autoSpaceDE/>
        <w:autoSpaceDN/>
        <w:bidi w:val="0"/>
        <w:snapToGrid w:val="0"/>
        <w:spacing w:line="500" w:lineRule="exact"/>
        <w:ind w:firstLine="640" w:firstLineChars="200"/>
        <w:rPr>
          <w:rFonts w:ascii="仿宋" w:hAnsi="仿宋" w:eastAsia="仿宋" w:cs="仿宋"/>
          <w:b w:val="0"/>
          <w:bCs w:val="0"/>
          <w:sz w:val="32"/>
          <w:szCs w:val="32"/>
          <w:u w:val="none"/>
        </w:rPr>
      </w:pPr>
      <w:r>
        <w:rPr>
          <w:rFonts w:hint="eastAsia" w:ascii="仿宋" w:hAnsi="仿宋" w:eastAsia="仿宋" w:cs="仿宋"/>
          <w:b w:val="0"/>
          <w:bCs w:val="0"/>
          <w:sz w:val="32"/>
          <w:szCs w:val="32"/>
          <w:u w:val="none"/>
        </w:rPr>
        <w:t>1.教学团队建设有力。吉安开放大学积极参与上级开放大学核心团队工作，通过教学团队实施教学服务、落实教学过程、开展教研活动、</w:t>
      </w:r>
      <w:r>
        <w:rPr>
          <w:rFonts w:hint="eastAsia" w:ascii="仿宋" w:hAnsi="仿宋" w:eastAsia="仿宋" w:cs="仿宋"/>
          <w:b w:val="0"/>
          <w:bCs w:val="0"/>
          <w:sz w:val="32"/>
          <w:szCs w:val="32"/>
          <w:u w:val="none"/>
          <w:lang w:eastAsia="zh-CN"/>
        </w:rPr>
        <w:t>建立健全</w:t>
      </w:r>
      <w:r>
        <w:rPr>
          <w:rFonts w:hint="eastAsia" w:ascii="仿宋" w:hAnsi="仿宋" w:eastAsia="仿宋" w:cs="仿宋"/>
          <w:b w:val="0"/>
          <w:bCs w:val="0"/>
          <w:sz w:val="32"/>
          <w:szCs w:val="32"/>
          <w:u w:val="none"/>
        </w:rPr>
        <w:t>教学队伍。</w:t>
      </w:r>
    </w:p>
    <w:p>
      <w:pPr>
        <w:keepNext w:val="0"/>
        <w:keepLines w:val="0"/>
        <w:pageBreakBefore w:val="0"/>
        <w:kinsoku/>
        <w:wordWrap/>
        <w:overflowPunct/>
        <w:topLinePunct w:val="0"/>
        <w:autoSpaceDE/>
        <w:autoSpaceDN/>
        <w:bidi w:val="0"/>
        <w:snapToGrid w:val="0"/>
        <w:spacing w:line="500" w:lineRule="exact"/>
        <w:ind w:firstLine="640" w:firstLineChars="200"/>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教学服务模式多样。探索导学教师和教学团队线上线下结合的支持服务模式，通过学情数据分析功能，帮助教师利用大数据开展针对性的学习支持。基于网络的形成性测评实现了边学边测和及时反馈，较好解决了远程学习中纸质作业提交不方便，批阅、反馈不及时的问题。通过网络协作环境配合教学团队开展督学、促学服务。</w:t>
      </w:r>
    </w:p>
    <w:p>
      <w:pPr>
        <w:pStyle w:val="2"/>
        <w:rPr>
          <w:rFonts w:hint="eastAsia" w:ascii="仿宋" w:hAnsi="仿宋" w:eastAsia="仿宋" w:cs="仿宋"/>
          <w:b w:val="0"/>
          <w:bCs w:val="0"/>
          <w:sz w:val="32"/>
          <w:szCs w:val="32"/>
          <w:u w:val="none"/>
        </w:rPr>
      </w:pPr>
    </w:p>
    <w:p>
      <w:pPr>
        <w:pStyle w:val="2"/>
        <w:rPr>
          <w:rFonts w:hint="eastAsia" w:ascii="仿宋" w:hAnsi="仿宋" w:eastAsia="仿宋" w:cs="仿宋"/>
          <w:b w:val="0"/>
          <w:bCs w:val="0"/>
          <w:sz w:val="32"/>
          <w:szCs w:val="32"/>
          <w:u w:val="none"/>
        </w:rPr>
      </w:pPr>
    </w:p>
    <w:p>
      <w:pPr>
        <w:pStyle w:val="2"/>
        <w:rPr>
          <w:rFonts w:hint="eastAsia" w:ascii="仿宋" w:hAnsi="仿宋" w:eastAsia="仿宋" w:cs="仿宋"/>
          <w:b w:val="0"/>
          <w:bCs w:val="0"/>
          <w:sz w:val="32"/>
          <w:szCs w:val="32"/>
          <w:u w:val="none"/>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rPr>
          <w:rFonts w:ascii="仿宋" w:hAnsi="仿宋" w:eastAsia="仿宋" w:cs="仿宋"/>
          <w:b w:val="0"/>
          <w:bCs w:val="0"/>
          <w:kern w:val="0"/>
          <w:sz w:val="28"/>
          <w:szCs w:val="28"/>
          <w:u w:val="none"/>
        </w:rPr>
      </w:pPr>
      <w:r>
        <w:rPr>
          <w:rFonts w:hint="eastAsia" w:ascii="仿宋" w:hAnsi="仿宋" w:eastAsia="仿宋" w:cs="仿宋"/>
          <w:b w:val="0"/>
          <w:bCs w:val="0"/>
          <w:sz w:val="28"/>
          <w:szCs w:val="28"/>
          <w:u w:val="none"/>
        </w:rPr>
        <w:t>表3-2</w:t>
      </w:r>
      <w:r>
        <w:rPr>
          <w:rFonts w:hint="eastAsia" w:ascii="仿宋" w:hAnsi="仿宋" w:eastAsia="仿宋"/>
          <w:b w:val="0"/>
          <w:bCs w:val="0"/>
          <w:sz w:val="28"/>
          <w:szCs w:val="28"/>
          <w:u w:val="none"/>
        </w:rPr>
        <w:t xml:space="preserve"> 2021</w:t>
      </w:r>
      <w:r>
        <w:rPr>
          <w:rFonts w:hint="eastAsia" w:ascii="仿宋" w:hAnsi="仿宋" w:eastAsia="仿宋" w:cs="仿宋"/>
          <w:b w:val="0"/>
          <w:bCs w:val="0"/>
          <w:sz w:val="28"/>
          <w:szCs w:val="28"/>
          <w:u w:val="none"/>
        </w:rPr>
        <w:t>年度教师情况校内教师数量与结构</w:t>
      </w:r>
    </w:p>
    <w:tbl>
      <w:tblPr>
        <w:tblStyle w:val="11"/>
        <w:tblW w:w="4998" w:type="pct"/>
        <w:tblInd w:w="0" w:type="dxa"/>
        <w:tblLayout w:type="autofit"/>
        <w:tblCellMar>
          <w:top w:w="0" w:type="dxa"/>
          <w:left w:w="108" w:type="dxa"/>
          <w:bottom w:w="0" w:type="dxa"/>
          <w:right w:w="108" w:type="dxa"/>
        </w:tblCellMar>
      </w:tblPr>
      <w:tblGrid>
        <w:gridCol w:w="985"/>
        <w:gridCol w:w="831"/>
        <w:gridCol w:w="890"/>
        <w:gridCol w:w="892"/>
        <w:gridCol w:w="890"/>
        <w:gridCol w:w="895"/>
        <w:gridCol w:w="698"/>
        <w:gridCol w:w="774"/>
        <w:gridCol w:w="719"/>
        <w:gridCol w:w="622"/>
        <w:gridCol w:w="861"/>
      </w:tblGrid>
      <w:tr>
        <w:tblPrEx>
          <w:tblCellMar>
            <w:top w:w="0" w:type="dxa"/>
            <w:left w:w="108" w:type="dxa"/>
            <w:bottom w:w="0" w:type="dxa"/>
            <w:right w:w="108" w:type="dxa"/>
          </w:tblCellMar>
        </w:tblPrEx>
        <w:trPr>
          <w:trHeight w:val="340" w:hRule="atLeast"/>
        </w:trPr>
        <w:tc>
          <w:tcPr>
            <w:tcW w:w="544" w:type="pct"/>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单位</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名称</w:t>
            </w:r>
          </w:p>
        </w:tc>
        <w:tc>
          <w:tcPr>
            <w:tcW w:w="459" w:type="pct"/>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在职教师人数</w:t>
            </w:r>
          </w:p>
        </w:tc>
        <w:tc>
          <w:tcPr>
            <w:tcW w:w="1968" w:type="pct"/>
            <w:gridSpan w:val="4"/>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职称情况</w:t>
            </w:r>
          </w:p>
        </w:tc>
        <w:tc>
          <w:tcPr>
            <w:tcW w:w="2027" w:type="pct"/>
            <w:gridSpan w:val="5"/>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学历情况</w:t>
            </w:r>
          </w:p>
        </w:tc>
      </w:tr>
      <w:tr>
        <w:tblPrEx>
          <w:tblCellMar>
            <w:top w:w="0" w:type="dxa"/>
            <w:left w:w="108" w:type="dxa"/>
            <w:bottom w:w="0" w:type="dxa"/>
            <w:right w:w="108" w:type="dxa"/>
          </w:tblCellMar>
        </w:tblPrEx>
        <w:trPr>
          <w:trHeight w:val="340" w:hRule="atLeast"/>
        </w:trPr>
        <w:tc>
          <w:tcPr>
            <w:tcW w:w="544" w:type="pct"/>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p>
        </w:tc>
        <w:tc>
          <w:tcPr>
            <w:tcW w:w="459" w:type="pct"/>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p>
        </w:tc>
        <w:tc>
          <w:tcPr>
            <w:tcW w:w="491"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正高职称人数</w:t>
            </w:r>
          </w:p>
        </w:tc>
        <w:tc>
          <w:tcPr>
            <w:tcW w:w="492"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副高职称人数</w:t>
            </w:r>
          </w:p>
        </w:tc>
        <w:tc>
          <w:tcPr>
            <w:tcW w:w="491"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中级职称人数</w:t>
            </w:r>
          </w:p>
        </w:tc>
        <w:tc>
          <w:tcPr>
            <w:tcW w:w="492"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中级以下职称人数</w:t>
            </w:r>
          </w:p>
        </w:tc>
        <w:tc>
          <w:tcPr>
            <w:tcW w:w="385"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博士生人数</w:t>
            </w:r>
          </w:p>
        </w:tc>
        <w:tc>
          <w:tcPr>
            <w:tcW w:w="427"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硕士生人数</w:t>
            </w:r>
          </w:p>
        </w:tc>
        <w:tc>
          <w:tcPr>
            <w:tcW w:w="397"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本科人数</w:t>
            </w:r>
          </w:p>
        </w:tc>
        <w:tc>
          <w:tcPr>
            <w:tcW w:w="343"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大专人数</w:t>
            </w:r>
          </w:p>
        </w:tc>
        <w:tc>
          <w:tcPr>
            <w:tcW w:w="473"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大专以下人数</w:t>
            </w:r>
          </w:p>
        </w:tc>
      </w:tr>
      <w:tr>
        <w:tblPrEx>
          <w:tblCellMar>
            <w:top w:w="0" w:type="dxa"/>
            <w:left w:w="108" w:type="dxa"/>
            <w:bottom w:w="0" w:type="dxa"/>
            <w:right w:w="108" w:type="dxa"/>
          </w:tblCellMar>
        </w:tblPrEx>
        <w:trPr>
          <w:trHeight w:val="340" w:hRule="atLeast"/>
        </w:trPr>
        <w:tc>
          <w:tcPr>
            <w:tcW w:w="544"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校本部</w:t>
            </w:r>
          </w:p>
        </w:tc>
        <w:tc>
          <w:tcPr>
            <w:tcW w:w="45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219</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53</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139</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19</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8</w:t>
            </w:r>
          </w:p>
        </w:tc>
        <w:tc>
          <w:tcPr>
            <w:tcW w:w="385"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69</w:t>
            </w:r>
          </w:p>
        </w:tc>
        <w:tc>
          <w:tcPr>
            <w:tcW w:w="427"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81</w:t>
            </w:r>
          </w:p>
        </w:tc>
        <w:tc>
          <w:tcPr>
            <w:tcW w:w="397"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66</w:t>
            </w:r>
          </w:p>
        </w:tc>
        <w:tc>
          <w:tcPr>
            <w:tcW w:w="343"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3</w:t>
            </w:r>
          </w:p>
        </w:tc>
        <w:tc>
          <w:tcPr>
            <w:tcW w:w="473"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r>
      <w:tr>
        <w:tblPrEx>
          <w:tblCellMar>
            <w:top w:w="0" w:type="dxa"/>
            <w:left w:w="108" w:type="dxa"/>
            <w:bottom w:w="0" w:type="dxa"/>
            <w:right w:w="108" w:type="dxa"/>
          </w:tblCellMar>
        </w:tblPrEx>
        <w:trPr>
          <w:trHeight w:val="340" w:hRule="atLeast"/>
        </w:trPr>
        <w:tc>
          <w:tcPr>
            <w:tcW w:w="544"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所辖县级机构汇总</w:t>
            </w:r>
          </w:p>
        </w:tc>
        <w:tc>
          <w:tcPr>
            <w:tcW w:w="45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166</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18</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32</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62</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54</w:t>
            </w:r>
          </w:p>
        </w:tc>
        <w:tc>
          <w:tcPr>
            <w:tcW w:w="385"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27"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11</w:t>
            </w:r>
          </w:p>
        </w:tc>
        <w:tc>
          <w:tcPr>
            <w:tcW w:w="397"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96</w:t>
            </w:r>
          </w:p>
        </w:tc>
        <w:tc>
          <w:tcPr>
            <w:tcW w:w="343"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59</w:t>
            </w:r>
          </w:p>
        </w:tc>
        <w:tc>
          <w:tcPr>
            <w:tcW w:w="473"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r>
    </w:tbl>
    <w:p>
      <w:pPr>
        <w:keepNext w:val="0"/>
        <w:keepLines w:val="0"/>
        <w:pageBreakBefore w:val="0"/>
        <w:widowControl/>
        <w:kinsoku/>
        <w:wordWrap/>
        <w:overflowPunct/>
        <w:topLinePunct w:val="0"/>
        <w:autoSpaceDE/>
        <w:autoSpaceDN/>
        <w:bidi w:val="0"/>
        <w:adjustRightInd w:val="0"/>
        <w:snapToGrid w:val="0"/>
        <w:spacing w:line="500" w:lineRule="exact"/>
        <w:jc w:val="center"/>
        <w:textAlignment w:val="center"/>
        <w:outlineLvl w:val="1"/>
        <w:rPr>
          <w:rFonts w:ascii="仿宋" w:hAnsi="仿宋" w:eastAsia="仿宋" w:cs="仿宋"/>
          <w:b w:val="0"/>
          <w:bCs w:val="0"/>
          <w:kern w:val="0"/>
          <w:sz w:val="28"/>
          <w:szCs w:val="28"/>
          <w:u w:val="none"/>
        </w:rPr>
      </w:pPr>
      <w:r>
        <w:rPr>
          <w:rFonts w:hint="eastAsia" w:ascii="仿宋" w:hAnsi="仿宋" w:eastAsia="仿宋" w:cs="仿宋"/>
          <w:b w:val="0"/>
          <w:bCs w:val="0"/>
          <w:sz w:val="28"/>
          <w:szCs w:val="28"/>
          <w:u w:val="none"/>
        </w:rPr>
        <w:t>表3-3</w:t>
      </w:r>
      <w:r>
        <w:rPr>
          <w:rFonts w:hint="eastAsia" w:ascii="仿宋" w:hAnsi="仿宋" w:eastAsia="仿宋"/>
          <w:b w:val="0"/>
          <w:bCs w:val="0"/>
          <w:sz w:val="28"/>
          <w:szCs w:val="28"/>
          <w:u w:val="none"/>
        </w:rPr>
        <w:t xml:space="preserve"> </w:t>
      </w:r>
      <w:r>
        <w:rPr>
          <w:rFonts w:hint="eastAsia" w:ascii="仿宋" w:hAnsi="仿宋" w:eastAsia="仿宋" w:cs="仿宋"/>
          <w:b w:val="0"/>
          <w:bCs w:val="0"/>
          <w:kern w:val="0"/>
          <w:sz w:val="28"/>
          <w:szCs w:val="28"/>
          <w:u w:val="none"/>
        </w:rPr>
        <w:t>校外聘任教师数量与结构</w:t>
      </w:r>
    </w:p>
    <w:tbl>
      <w:tblPr>
        <w:tblStyle w:val="11"/>
        <w:tblW w:w="4998" w:type="pct"/>
        <w:tblInd w:w="0" w:type="dxa"/>
        <w:tblLayout w:type="autofit"/>
        <w:tblCellMar>
          <w:top w:w="0" w:type="dxa"/>
          <w:left w:w="108" w:type="dxa"/>
          <w:bottom w:w="0" w:type="dxa"/>
          <w:right w:w="108" w:type="dxa"/>
        </w:tblCellMar>
      </w:tblPr>
      <w:tblGrid>
        <w:gridCol w:w="1164"/>
        <w:gridCol w:w="651"/>
        <w:gridCol w:w="888"/>
        <w:gridCol w:w="890"/>
        <w:gridCol w:w="888"/>
        <w:gridCol w:w="895"/>
        <w:gridCol w:w="696"/>
        <w:gridCol w:w="772"/>
        <w:gridCol w:w="569"/>
        <w:gridCol w:w="772"/>
        <w:gridCol w:w="872"/>
      </w:tblGrid>
      <w:tr>
        <w:tblPrEx>
          <w:tblCellMar>
            <w:top w:w="0" w:type="dxa"/>
            <w:left w:w="108" w:type="dxa"/>
            <w:bottom w:w="0" w:type="dxa"/>
            <w:right w:w="108" w:type="dxa"/>
          </w:tblCellMar>
        </w:tblPrEx>
        <w:trPr>
          <w:trHeight w:val="340" w:hRule="atLeast"/>
        </w:trPr>
        <w:tc>
          <w:tcPr>
            <w:tcW w:w="643" w:type="pct"/>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单位</w:t>
            </w:r>
          </w:p>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名称</w:t>
            </w:r>
          </w:p>
        </w:tc>
        <w:tc>
          <w:tcPr>
            <w:tcW w:w="359" w:type="pct"/>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兼职教师人数</w:t>
            </w:r>
          </w:p>
        </w:tc>
        <w:tc>
          <w:tcPr>
            <w:tcW w:w="1965" w:type="pct"/>
            <w:gridSpan w:val="4"/>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职称情况</w:t>
            </w:r>
          </w:p>
        </w:tc>
        <w:tc>
          <w:tcPr>
            <w:tcW w:w="2031" w:type="pct"/>
            <w:gridSpan w:val="5"/>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学历情况</w:t>
            </w:r>
          </w:p>
        </w:tc>
      </w:tr>
      <w:tr>
        <w:tblPrEx>
          <w:tblCellMar>
            <w:top w:w="0" w:type="dxa"/>
            <w:left w:w="108" w:type="dxa"/>
            <w:bottom w:w="0" w:type="dxa"/>
            <w:right w:w="108" w:type="dxa"/>
          </w:tblCellMar>
        </w:tblPrEx>
        <w:trPr>
          <w:trHeight w:val="340" w:hRule="atLeast"/>
        </w:trPr>
        <w:tc>
          <w:tcPr>
            <w:tcW w:w="643" w:type="pct"/>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p>
        </w:tc>
        <w:tc>
          <w:tcPr>
            <w:tcW w:w="359" w:type="pct"/>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p>
        </w:tc>
        <w:tc>
          <w:tcPr>
            <w:tcW w:w="490"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正高职称人数</w:t>
            </w:r>
          </w:p>
        </w:tc>
        <w:tc>
          <w:tcPr>
            <w:tcW w:w="491"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副高职称人数</w:t>
            </w:r>
          </w:p>
        </w:tc>
        <w:tc>
          <w:tcPr>
            <w:tcW w:w="490"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中级职称人数</w:t>
            </w:r>
          </w:p>
        </w:tc>
        <w:tc>
          <w:tcPr>
            <w:tcW w:w="492"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中级以下职称人数</w:t>
            </w:r>
          </w:p>
        </w:tc>
        <w:tc>
          <w:tcPr>
            <w:tcW w:w="384"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博士生人数</w:t>
            </w:r>
          </w:p>
        </w:tc>
        <w:tc>
          <w:tcPr>
            <w:tcW w:w="426"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硕士生人数</w:t>
            </w:r>
          </w:p>
        </w:tc>
        <w:tc>
          <w:tcPr>
            <w:tcW w:w="314"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本科人数</w:t>
            </w:r>
          </w:p>
        </w:tc>
        <w:tc>
          <w:tcPr>
            <w:tcW w:w="426"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大专人数</w:t>
            </w:r>
          </w:p>
        </w:tc>
        <w:tc>
          <w:tcPr>
            <w:tcW w:w="479" w:type="pct"/>
            <w:tcBorders>
              <w:top w:val="single" w:color="auto" w:sz="4" w:space="0"/>
              <w:left w:val="nil"/>
              <w:bottom w:val="single" w:color="auto" w:sz="4" w:space="0"/>
              <w:right w:val="single" w:color="auto" w:sz="4" w:space="0"/>
            </w:tcBorders>
            <w:shd w:val="clear" w:color="auto" w:fill="F1F1F1" w:themeFill="background1" w:themeFillShade="F2"/>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大专以下人数</w:t>
            </w:r>
          </w:p>
        </w:tc>
      </w:tr>
      <w:tr>
        <w:tblPrEx>
          <w:tblCellMar>
            <w:top w:w="0" w:type="dxa"/>
            <w:left w:w="108" w:type="dxa"/>
            <w:bottom w:w="0" w:type="dxa"/>
            <w:right w:w="108" w:type="dxa"/>
          </w:tblCellMar>
        </w:tblPrEx>
        <w:trPr>
          <w:trHeight w:val="340" w:hRule="atLeast"/>
        </w:trPr>
        <w:tc>
          <w:tcPr>
            <w:tcW w:w="6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校本部</w:t>
            </w:r>
          </w:p>
        </w:tc>
        <w:tc>
          <w:tcPr>
            <w:tcW w:w="35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90"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90"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384"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26"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314"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26"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7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r>
      <w:tr>
        <w:tblPrEx>
          <w:tblCellMar>
            <w:top w:w="0" w:type="dxa"/>
            <w:left w:w="108" w:type="dxa"/>
            <w:bottom w:w="0" w:type="dxa"/>
            <w:right w:w="108" w:type="dxa"/>
          </w:tblCellMar>
        </w:tblPrEx>
        <w:trPr>
          <w:trHeight w:val="340" w:hRule="atLeast"/>
        </w:trPr>
        <w:tc>
          <w:tcPr>
            <w:tcW w:w="6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pacing w:line="320" w:lineRule="exact"/>
              <w:jc w:val="center"/>
              <w:textAlignment w:val="auto"/>
              <w:rPr>
                <w:rFonts w:ascii="仿宋" w:hAnsi="仿宋" w:eastAsia="仿宋" w:cs="仿宋"/>
                <w:b w:val="0"/>
                <w:bCs w:val="0"/>
                <w:sz w:val="28"/>
                <w:szCs w:val="28"/>
                <w:u w:val="none"/>
              </w:rPr>
            </w:pPr>
            <w:r>
              <w:rPr>
                <w:rFonts w:hint="eastAsia" w:ascii="仿宋" w:hAnsi="仿宋" w:eastAsia="仿宋" w:cs="仿宋"/>
                <w:b w:val="0"/>
                <w:bCs w:val="0"/>
                <w:sz w:val="28"/>
                <w:szCs w:val="28"/>
                <w:u w:val="none"/>
              </w:rPr>
              <w:t>所辖县级机构汇总</w:t>
            </w:r>
          </w:p>
        </w:tc>
        <w:tc>
          <w:tcPr>
            <w:tcW w:w="35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85</w:t>
            </w:r>
          </w:p>
        </w:tc>
        <w:tc>
          <w:tcPr>
            <w:tcW w:w="490"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5</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23</w:t>
            </w:r>
          </w:p>
        </w:tc>
        <w:tc>
          <w:tcPr>
            <w:tcW w:w="490"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45</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12</w:t>
            </w:r>
          </w:p>
        </w:tc>
        <w:tc>
          <w:tcPr>
            <w:tcW w:w="384"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c>
          <w:tcPr>
            <w:tcW w:w="426"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1</w:t>
            </w:r>
          </w:p>
        </w:tc>
        <w:tc>
          <w:tcPr>
            <w:tcW w:w="314"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50</w:t>
            </w:r>
          </w:p>
        </w:tc>
        <w:tc>
          <w:tcPr>
            <w:tcW w:w="426"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34</w:t>
            </w:r>
          </w:p>
        </w:tc>
        <w:tc>
          <w:tcPr>
            <w:tcW w:w="479" w:type="pct"/>
            <w:tcBorders>
              <w:top w:val="single" w:color="auto" w:sz="4" w:space="0"/>
              <w:left w:val="nil"/>
              <w:bottom w:val="single" w:color="auto"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val="0"/>
              <w:spacing w:line="320" w:lineRule="exact"/>
              <w:jc w:val="center"/>
              <w:textAlignment w:val="auto"/>
              <w:rPr>
                <w:rFonts w:ascii="仿宋" w:hAnsi="仿宋" w:eastAsia="仿宋"/>
                <w:b w:val="0"/>
                <w:bCs w:val="0"/>
                <w:sz w:val="28"/>
                <w:szCs w:val="28"/>
                <w:u w:val="none"/>
              </w:rPr>
            </w:pPr>
            <w:r>
              <w:rPr>
                <w:rFonts w:hint="eastAsia" w:ascii="仿宋" w:hAnsi="仿宋" w:eastAsia="仿宋"/>
                <w:b w:val="0"/>
                <w:bCs w:val="0"/>
                <w:sz w:val="28"/>
                <w:szCs w:val="28"/>
                <w:u w:val="none"/>
              </w:rPr>
              <w:t>0</w:t>
            </w:r>
          </w:p>
        </w:tc>
      </w:tr>
    </w:tbl>
    <w:p>
      <w:pPr>
        <w:pStyle w:val="2"/>
        <w:keepNext w:val="0"/>
        <w:keepLines w:val="0"/>
        <w:pageBreakBefore w:val="0"/>
        <w:widowControl w:val="0"/>
        <w:kinsoku/>
        <w:wordWrap/>
        <w:overflowPunct/>
        <w:topLinePunct w:val="0"/>
        <w:autoSpaceDE/>
        <w:autoSpaceDN/>
        <w:bidi w:val="0"/>
        <w:spacing w:after="0" w:line="500" w:lineRule="exact"/>
        <w:ind w:firstLine="640" w:firstLineChars="200"/>
        <w:jc w:val="both"/>
        <w:outlineLvl w:val="0"/>
        <w:rPr>
          <w:rFonts w:ascii="楷体" w:hAnsi="楷体" w:eastAsia="楷体" w:cs="楷体"/>
          <w:b w:val="0"/>
          <w:bCs w:val="0"/>
          <w:sz w:val="32"/>
          <w:szCs w:val="32"/>
          <w:u w:val="none"/>
        </w:rPr>
      </w:pPr>
      <w:r>
        <w:rPr>
          <w:rFonts w:hint="eastAsia" w:ascii="黑体" w:hAnsi="黑体" w:eastAsia="黑体" w:cs="黑体"/>
          <w:b w:val="0"/>
          <w:bCs w:val="0"/>
          <w:sz w:val="32"/>
          <w:szCs w:val="32"/>
          <w:u w:val="none"/>
        </w:rPr>
        <w:t>四、科学研究和特色创新</w:t>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jc w:val="both"/>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（一）科学研究</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rPr>
          <w:rFonts w:ascii="仿宋" w:hAnsi="仿宋" w:eastAsia="仿宋" w:cs="仿宋"/>
          <w:b w:val="0"/>
          <w:bCs w:val="0"/>
          <w:sz w:val="32"/>
          <w:szCs w:val="32"/>
          <w:u w:val="none"/>
        </w:rPr>
      </w:pPr>
      <w:r>
        <w:rPr>
          <w:rFonts w:hint="eastAsia" w:ascii="仿宋" w:hAnsi="仿宋" w:eastAsia="仿宋" w:cs="仿宋"/>
          <w:b w:val="0"/>
          <w:bCs w:val="0"/>
          <w:sz w:val="32"/>
          <w:szCs w:val="32"/>
          <w:u w:val="none"/>
        </w:rPr>
        <w:t>1.加强科学研究制度建设。吉安开放大学重视发挥科研工作的引领与服务作用，安排专人负责科研工作，结合开放大学特色，参照执行井冈山大学科研项目管理办法，出台了《电大吉安市分校关于参照执行井冈山大学科研项目相关管理办法的通知》，搭建了科研管理平台。</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rPr>
          <w:rFonts w:hint="eastAsia" w:ascii="仿宋" w:hAnsi="仿宋" w:eastAsia="仿宋" w:cs="仿宋"/>
          <w:b w:val="0"/>
          <w:bCs w:val="0"/>
          <w:sz w:val="32"/>
          <w:szCs w:val="32"/>
          <w:u w:val="none"/>
        </w:rPr>
      </w:pPr>
      <w:r>
        <w:rPr>
          <w:rFonts w:hint="eastAsia" w:ascii="仿宋" w:hAnsi="仿宋" w:eastAsia="仿宋" w:cs="仿宋"/>
          <w:b w:val="0"/>
          <w:bCs w:val="0"/>
          <w:sz w:val="32"/>
          <w:szCs w:val="32"/>
          <w:u w:val="none"/>
        </w:rPr>
        <w:t>2.积极参加科研和学会活动。吉安开放大学积极开展学科学术研究，努力开展以知识技术创新为主要方式的社会服务，积极参加科研和学会活动。2021年</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校长贺晓斌担任“继续教育课程思政示范项目”评审专家；副校长王志民分别参加教育部组织的思政学习交流会（山东大学）和教育部组织的思政学习交流会（武汉大学）的学术活动。</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rPr>
          <w:rFonts w:ascii="楷体" w:hAnsi="楷体" w:eastAsia="楷体" w:cs="楷体"/>
          <w:b w:val="0"/>
          <w:bCs w:val="0"/>
          <w:sz w:val="32"/>
          <w:szCs w:val="32"/>
          <w:u w:val="none"/>
        </w:rPr>
      </w:pPr>
      <w:r>
        <w:rPr>
          <w:rFonts w:hint="eastAsia" w:ascii="仿宋" w:hAnsi="仿宋" w:eastAsia="仿宋" w:cs="仿宋"/>
          <w:b w:val="0"/>
          <w:bCs w:val="0"/>
          <w:sz w:val="32"/>
          <w:szCs w:val="32"/>
          <w:u w:val="none"/>
        </w:rPr>
        <w:t>3.科研成果卓有成效。吉安开放大学积极组织教师参与学术研究，在CN以上刊物发表论文16篇，地厅级以上（含省校）课题立项3个，出版著作或计算机应用软件成果3个。        </w:t>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jc w:val="both"/>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（二）特色创新</w:t>
      </w:r>
    </w:p>
    <w:p>
      <w:pPr>
        <w:pStyle w:val="14"/>
        <w:keepNext w:val="0"/>
        <w:keepLines w:val="0"/>
        <w:pageBreakBefore w:val="0"/>
        <w:widowControl w:val="0"/>
        <w:kinsoku/>
        <w:wordWrap/>
        <w:overflowPunct/>
        <w:topLinePunct w:val="0"/>
        <w:autoSpaceDE/>
        <w:autoSpaceDN/>
        <w:bidi w:val="0"/>
        <w:snapToGrid w:val="0"/>
        <w:spacing w:after="0" w:line="500" w:lineRule="exact"/>
        <w:ind w:firstLine="640" w:firstLineChars="200"/>
        <w:jc w:val="both"/>
        <w:textAlignment w:val="baseline"/>
        <w:rPr>
          <w:rFonts w:ascii="仿宋" w:hAnsi="仿宋" w:eastAsia="仿宋" w:cs="仿宋"/>
          <w:b w:val="0"/>
          <w:bCs w:val="0"/>
          <w:sz w:val="32"/>
          <w:szCs w:val="32"/>
          <w:u w:val="none"/>
        </w:rPr>
      </w:pPr>
      <w:r>
        <w:rPr>
          <w:rFonts w:hint="eastAsia" w:ascii="仿宋" w:hAnsi="仿宋" w:eastAsia="仿宋" w:cs="仿宋"/>
          <w:b w:val="0"/>
          <w:bCs w:val="0"/>
          <w:sz w:val="32"/>
          <w:szCs w:val="32"/>
          <w:u w:val="none"/>
        </w:rPr>
        <w:t>1.学校有明确特色办学规划、清晰的办学思路和科学的发展策略，牢固树立“特色立校”的观念。</w:t>
      </w:r>
    </w:p>
    <w:p>
      <w:pPr>
        <w:pStyle w:val="14"/>
        <w:keepNext w:val="0"/>
        <w:keepLines w:val="0"/>
        <w:pageBreakBefore w:val="0"/>
        <w:widowControl w:val="0"/>
        <w:kinsoku/>
        <w:wordWrap/>
        <w:overflowPunct/>
        <w:topLinePunct w:val="0"/>
        <w:autoSpaceDE/>
        <w:autoSpaceDN/>
        <w:bidi w:val="0"/>
        <w:snapToGrid w:val="0"/>
        <w:spacing w:after="0" w:line="500" w:lineRule="exact"/>
        <w:ind w:firstLine="640" w:firstLineChars="200"/>
        <w:jc w:val="both"/>
        <w:textAlignment w:val="baseline"/>
        <w:rPr>
          <w:rFonts w:ascii="仿宋" w:hAnsi="仿宋" w:eastAsia="仿宋" w:cs="仿宋"/>
          <w:b w:val="0"/>
          <w:bCs w:val="0"/>
          <w:sz w:val="32"/>
          <w:szCs w:val="32"/>
          <w:u w:val="none"/>
        </w:rPr>
      </w:pPr>
      <w:r>
        <w:rPr>
          <w:rFonts w:hint="eastAsia" w:ascii="仿宋" w:hAnsi="仿宋" w:eastAsia="仿宋" w:cs="仿宋"/>
          <w:b w:val="0"/>
          <w:bCs w:val="0"/>
          <w:sz w:val="32"/>
          <w:szCs w:val="32"/>
          <w:u w:val="none"/>
        </w:rPr>
        <w:t>（1）不断探索健全德技并修、工学结合的育人机制，落实立德树人根本任务。坚持以井冈山精神办学育人，依托井大资源</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充分利用国开“思想政治教育基地”和省开“井冈山红色培训教育实践基地”平台，红色基因贯穿教学管理全过程，着力打造“思政教学”“教学思政”进教材、进课堂、进头脑。</w:t>
      </w:r>
    </w:p>
    <w:p>
      <w:pPr>
        <w:pStyle w:val="14"/>
        <w:keepNext w:val="0"/>
        <w:keepLines w:val="0"/>
        <w:pageBreakBefore w:val="0"/>
        <w:widowControl w:val="0"/>
        <w:kinsoku/>
        <w:wordWrap/>
        <w:overflowPunct/>
        <w:topLinePunct w:val="0"/>
        <w:autoSpaceDE/>
        <w:autoSpaceDN/>
        <w:bidi w:val="0"/>
        <w:snapToGrid w:val="0"/>
        <w:spacing w:after="0" w:line="500" w:lineRule="exact"/>
        <w:ind w:firstLine="640" w:firstLineChars="200"/>
        <w:jc w:val="both"/>
        <w:textAlignment w:val="baseline"/>
        <w:rPr>
          <w:rFonts w:ascii="仿宋" w:hAnsi="仿宋" w:eastAsia="仿宋" w:cs="仿宋"/>
          <w:b w:val="0"/>
          <w:bCs w:val="0"/>
          <w:sz w:val="32"/>
          <w:szCs w:val="32"/>
          <w:u w:val="none"/>
        </w:rPr>
      </w:pPr>
      <w:r>
        <w:rPr>
          <w:rFonts w:hint="eastAsia" w:ascii="仿宋" w:hAnsi="仿宋" w:eastAsia="仿宋" w:cs="仿宋"/>
          <w:b w:val="0"/>
          <w:bCs w:val="0"/>
          <w:sz w:val="32"/>
          <w:szCs w:val="32"/>
          <w:u w:val="none"/>
        </w:rPr>
        <w:t>（2）学校坚持“立德树人”的根本任务不变，树立服务全民终身学习办学理念，坚持学历教育与非学历教育并举，深入贯彻落实《国家开放大学关于提高教育教学质量的若干意见》《江西广播电视大学开放教育质量提升综合治理工程工作方案</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试行</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》精神，狠抓质量，从严“三治”：从严治招，把好入口；从严治教，提升质量；从严治考，维护公平；同时，从严治管，规范流程。</w:t>
      </w:r>
    </w:p>
    <w:p>
      <w:pPr>
        <w:pStyle w:val="14"/>
        <w:keepNext w:val="0"/>
        <w:keepLines w:val="0"/>
        <w:pageBreakBefore w:val="0"/>
        <w:widowControl w:val="0"/>
        <w:kinsoku/>
        <w:wordWrap/>
        <w:overflowPunct/>
        <w:topLinePunct w:val="0"/>
        <w:autoSpaceDE/>
        <w:autoSpaceDN/>
        <w:bidi w:val="0"/>
        <w:snapToGrid w:val="0"/>
        <w:spacing w:after="0" w:line="500" w:lineRule="exact"/>
        <w:ind w:firstLine="640" w:firstLineChars="200"/>
        <w:jc w:val="both"/>
        <w:textAlignment w:val="baseline"/>
        <w:rPr>
          <w:rFonts w:ascii="宋体" w:hAnsi="宋体"/>
          <w:b w:val="0"/>
          <w:bCs w:val="0"/>
          <w:sz w:val="24"/>
          <w:u w:val="none"/>
        </w:rPr>
      </w:pPr>
      <w:r>
        <w:rPr>
          <w:rFonts w:hint="eastAsia" w:ascii="仿宋" w:hAnsi="仿宋" w:eastAsia="仿宋" w:cs="仿宋"/>
          <w:b w:val="0"/>
          <w:bCs w:val="0"/>
          <w:sz w:val="32"/>
          <w:szCs w:val="32"/>
          <w:u w:val="none"/>
        </w:rPr>
        <w:t>2.走出校门，走向社会，努力打造学校成为吸引干部党性教育的“红色磁场”。依托区位优势、充分利用井冈山大学优势学科平台，按照“全国领先、江西一流”的标准，积极探索开展井冈山党性教育红色培训，走出校门，走向社会，努力打造学校成为吸引干部党性教育的“红色磁场”。</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textAlignment w:val="baseline"/>
        <w:rPr>
          <w:rFonts w:ascii="仿宋" w:hAnsi="仿宋" w:eastAsia="仿宋" w:cs="仿宋"/>
          <w:b w:val="0"/>
          <w:bCs w:val="0"/>
          <w:sz w:val="32"/>
          <w:szCs w:val="32"/>
          <w:u w:val="none"/>
        </w:rPr>
      </w:pPr>
      <w:r>
        <w:rPr>
          <w:rFonts w:hint="eastAsia" w:ascii="仿宋" w:hAnsi="仿宋" w:eastAsia="仿宋" w:cs="仿宋"/>
          <w:b w:val="0"/>
          <w:bCs w:val="0"/>
          <w:sz w:val="32"/>
          <w:szCs w:val="32"/>
          <w:u w:val="none"/>
        </w:rPr>
        <w:t>3.学校特色建设成效显著</w:t>
      </w:r>
    </w:p>
    <w:p>
      <w:pPr>
        <w:pStyle w:val="14"/>
        <w:keepNext w:val="0"/>
        <w:keepLines w:val="0"/>
        <w:pageBreakBefore w:val="0"/>
        <w:widowControl w:val="0"/>
        <w:kinsoku/>
        <w:wordWrap/>
        <w:overflowPunct/>
        <w:topLinePunct w:val="0"/>
        <w:autoSpaceDE/>
        <w:autoSpaceDN/>
        <w:bidi w:val="0"/>
        <w:snapToGrid w:val="0"/>
        <w:spacing w:after="0" w:line="500" w:lineRule="exact"/>
        <w:ind w:firstLine="640" w:firstLineChars="200"/>
        <w:jc w:val="both"/>
        <w:textAlignment w:val="baseline"/>
        <w:rPr>
          <w:rFonts w:ascii="仿宋" w:hAnsi="仿宋" w:eastAsia="仿宋" w:cs="仿宋"/>
          <w:b w:val="0"/>
          <w:bCs w:val="0"/>
          <w:sz w:val="32"/>
          <w:szCs w:val="32"/>
          <w:u w:val="none"/>
        </w:rPr>
      </w:pPr>
      <w:r>
        <w:rPr>
          <w:rFonts w:hint="eastAsia" w:ascii="仿宋" w:hAnsi="仿宋" w:eastAsia="仿宋" w:cs="仿宋"/>
          <w:b w:val="0"/>
          <w:bCs w:val="0"/>
          <w:sz w:val="32"/>
          <w:szCs w:val="32"/>
          <w:u w:val="none"/>
        </w:rPr>
        <w:t>吉安开放大学特色成果得到上级部门的肯定和表彰，起到示范引领作用，工作经验和做法得到交流和推广，拥有一定的知名度。</w:t>
      </w:r>
    </w:p>
    <w:p>
      <w:pPr>
        <w:pStyle w:val="7"/>
        <w:snapToGrid w:val="0"/>
        <w:jc w:val="center"/>
        <w:textAlignment w:val="baseline"/>
        <w:rPr>
          <w:rFonts w:ascii="宋体" w:hAnsi="宋体" w:cs="宋体"/>
          <w:b w:val="0"/>
          <w:bCs w:val="0"/>
          <w:sz w:val="24"/>
          <w:u w:val="none"/>
        </w:rPr>
      </w:pPr>
      <w:r>
        <w:rPr>
          <w:rFonts w:ascii="宋体" w:hAnsi="宋体" w:cs="宋体"/>
          <w:b w:val="0"/>
          <w:bCs w:val="0"/>
          <w:sz w:val="24"/>
          <w:u w:val="none"/>
        </w:rPr>
        <w:drawing>
          <wp:inline distT="0" distB="0" distL="114300" distR="114300">
            <wp:extent cx="5634355" cy="1833245"/>
            <wp:effectExtent l="0" t="0" r="4445" b="14605"/>
            <wp:docPr id="1423"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图片 11" descr="IMG_256"/>
                    <pic:cNvPicPr>
                      <a:picLocks noChangeAspect="1"/>
                    </pic:cNvPicPr>
                  </pic:nvPicPr>
                  <pic:blipFill>
                    <a:blip r:embed="rId6"/>
                    <a:srcRect t="7573"/>
                    <a:stretch>
                      <a:fillRect/>
                    </a:stretch>
                  </pic:blipFill>
                  <pic:spPr>
                    <a:xfrm>
                      <a:off x="0" y="0"/>
                      <a:ext cx="5634355" cy="183324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00" w:lineRule="exact"/>
        <w:jc w:val="center"/>
        <w:textAlignment w:val="baseline"/>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lang w:eastAsia="zh-CN"/>
        </w:rPr>
        <w:t>（</w:t>
      </w:r>
      <w:r>
        <w:rPr>
          <w:rFonts w:hint="eastAsia" w:ascii="仿宋" w:hAnsi="仿宋" w:eastAsia="仿宋" w:cs="仿宋"/>
          <w:b w:val="0"/>
          <w:bCs w:val="0"/>
          <w:sz w:val="28"/>
          <w:szCs w:val="28"/>
          <w:u w:val="none"/>
        </w:rPr>
        <w:t>教育部等培训单位感谢信节选</w:t>
      </w:r>
      <w:r>
        <w:rPr>
          <w:rFonts w:hint="eastAsia" w:ascii="仿宋" w:hAnsi="仿宋" w:eastAsia="仿宋" w:cs="仿宋"/>
          <w:b w:val="0"/>
          <w:bCs w:val="0"/>
          <w:sz w:val="28"/>
          <w:szCs w:val="28"/>
          <w:u w:val="none"/>
          <w:lang w:eastAsia="zh-CN"/>
        </w:rPr>
        <w:t>）</w:t>
      </w:r>
    </w:p>
    <w:p>
      <w:pPr>
        <w:pStyle w:val="5"/>
        <w:rPr>
          <w:rFonts w:hint="eastAsia" w:ascii="仿宋" w:hAnsi="仿宋" w:eastAsia="仿宋" w:cs="仿宋"/>
          <w:b w:val="0"/>
          <w:bCs w:val="0"/>
          <w:color w:val="auto"/>
          <w:sz w:val="32"/>
          <w:szCs w:val="32"/>
          <w:u w:val="none"/>
        </w:rPr>
      </w:pPr>
      <w:r>
        <w:rPr>
          <w:rFonts w:hint="eastAsia" w:ascii="仿宋" w:hAnsi="仿宋" w:eastAsia="仿宋" w:cs="仿宋"/>
          <w:b w:val="0"/>
          <w:bCs w:val="0"/>
          <w:color w:val="auto"/>
          <w:sz w:val="32"/>
          <w:szCs w:val="32"/>
          <w:u w:val="none"/>
        </w:rPr>
        <w:drawing>
          <wp:inline distT="0" distB="0" distL="114300" distR="114300">
            <wp:extent cx="2805430" cy="1630045"/>
            <wp:effectExtent l="0" t="0" r="13970" b="8255"/>
            <wp:docPr id="145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 name="图片 3" descr="IMG_256"/>
                    <pic:cNvPicPr>
                      <a:picLocks noChangeAspect="1"/>
                    </pic:cNvPicPr>
                  </pic:nvPicPr>
                  <pic:blipFill>
                    <a:blip r:embed="rId7"/>
                    <a:stretch>
                      <a:fillRect/>
                    </a:stretch>
                  </pic:blipFill>
                  <pic:spPr>
                    <a:xfrm>
                      <a:off x="0" y="0"/>
                      <a:ext cx="2805430" cy="1630045"/>
                    </a:xfrm>
                    <a:prstGeom prst="rect">
                      <a:avLst/>
                    </a:prstGeom>
                    <a:noFill/>
                    <a:ln w="9525">
                      <a:noFill/>
                    </a:ln>
                  </pic:spPr>
                </pic:pic>
              </a:graphicData>
            </a:graphic>
          </wp:inline>
        </w:drawing>
      </w:r>
      <w:r>
        <w:rPr>
          <w:rFonts w:hint="eastAsia" w:ascii="仿宋" w:hAnsi="仿宋" w:eastAsia="仿宋" w:cs="仿宋"/>
          <w:b w:val="0"/>
          <w:bCs w:val="0"/>
          <w:color w:val="auto"/>
          <w:sz w:val="32"/>
          <w:szCs w:val="32"/>
          <w:u w:val="none"/>
        </w:rPr>
        <w:drawing>
          <wp:inline distT="0" distB="0" distL="0" distR="0">
            <wp:extent cx="2771775" cy="1622425"/>
            <wp:effectExtent l="0" t="0" r="9525" b="15875"/>
            <wp:docPr id="1455" name="图片 7" descr="77ad24d1a2120209131ef3ba67e93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 name="图片 7" descr="77ad24d1a2120209131ef3ba67e93755.jpg"/>
                    <pic:cNvPicPr>
                      <a:picLocks noChangeAspect="1"/>
                    </pic:cNvPicPr>
                  </pic:nvPicPr>
                  <pic:blipFill>
                    <a:blip r:embed="rId8" cstate="print"/>
                    <a:srcRect b="6398"/>
                    <a:stretch>
                      <a:fillRect/>
                    </a:stretch>
                  </pic:blipFill>
                  <pic:spPr>
                    <a:xfrm>
                      <a:off x="0" y="0"/>
                      <a:ext cx="2771775" cy="1622425"/>
                    </a:xfrm>
                    <a:prstGeom prst="rect">
                      <a:avLst/>
                    </a:prstGeom>
                  </pic:spPr>
                </pic:pic>
              </a:graphicData>
            </a:graphic>
          </wp:inline>
        </w:drawing>
      </w:r>
    </w:p>
    <w:p>
      <w:pPr>
        <w:pStyle w:val="14"/>
        <w:keepNext w:val="0"/>
        <w:keepLines w:val="0"/>
        <w:pageBreakBefore w:val="0"/>
        <w:widowControl w:val="0"/>
        <w:kinsoku/>
        <w:wordWrap/>
        <w:overflowPunct/>
        <w:topLinePunct w:val="0"/>
        <w:autoSpaceDE/>
        <w:autoSpaceDN/>
        <w:bidi w:val="0"/>
        <w:adjustRightInd/>
        <w:snapToGrid/>
        <w:spacing w:after="0" w:line="500" w:lineRule="exact"/>
        <w:jc w:val="center"/>
        <w:textAlignment w:val="auto"/>
        <w:rPr>
          <w:rFonts w:hint="eastAsia" w:ascii="仿宋" w:hAnsi="仿宋" w:eastAsia="仿宋" w:cs="仿宋"/>
          <w:b w:val="0"/>
          <w:bCs w:val="0"/>
          <w:sz w:val="28"/>
          <w:szCs w:val="28"/>
          <w:u w:val="none"/>
        </w:rPr>
      </w:pPr>
      <w:r>
        <w:rPr>
          <w:rFonts w:hint="eastAsia" w:ascii="仿宋" w:hAnsi="仿宋" w:eastAsia="仿宋" w:cs="仿宋"/>
          <w:b w:val="0"/>
          <w:bCs w:val="0"/>
          <w:sz w:val="28"/>
          <w:szCs w:val="28"/>
          <w:u w:val="none"/>
          <w:lang w:eastAsia="zh-CN"/>
        </w:rPr>
        <w:t>（</w:t>
      </w:r>
      <w:r>
        <w:rPr>
          <w:rFonts w:hint="eastAsia" w:ascii="仿宋" w:hAnsi="仿宋" w:eastAsia="仿宋" w:cs="仿宋"/>
          <w:b w:val="0"/>
          <w:bCs w:val="0"/>
          <w:sz w:val="28"/>
          <w:szCs w:val="28"/>
          <w:u w:val="none"/>
        </w:rPr>
        <w:t>省开教务处领导视察论文档案室，对规范存档表示肯定</w:t>
      </w:r>
      <w:r>
        <w:rPr>
          <w:rFonts w:hint="eastAsia" w:ascii="仿宋" w:hAnsi="仿宋" w:eastAsia="仿宋" w:cs="仿宋"/>
          <w:b w:val="0"/>
          <w:bCs w:val="0"/>
          <w:sz w:val="28"/>
          <w:szCs w:val="28"/>
          <w:u w:val="none"/>
          <w:lang w:eastAsia="zh-CN"/>
        </w:rPr>
        <w:t>）</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 w:hAnsi="仿宋" w:eastAsia="仿宋" w:cs="仿宋"/>
          <w:b w:val="0"/>
          <w:bCs w:val="0"/>
          <w:sz w:val="32"/>
          <w:szCs w:val="32"/>
          <w:u w:val="none"/>
        </w:rPr>
      </w:pPr>
      <w:r>
        <w:rPr>
          <w:rFonts w:ascii="宋体" w:hAnsi="宋体" w:cs="宋体"/>
          <w:b w:val="0"/>
          <w:bCs w:val="0"/>
          <w:sz w:val="24"/>
          <w:u w:val="none"/>
        </w:rPr>
        <w:drawing>
          <wp:inline distT="0" distB="0" distL="114300" distR="114300">
            <wp:extent cx="2917825" cy="1540510"/>
            <wp:effectExtent l="0" t="0" r="15875" b="2540"/>
            <wp:docPr id="145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2" descr="IMG_256"/>
                    <pic:cNvPicPr>
                      <a:picLocks noChangeAspect="1"/>
                    </pic:cNvPicPr>
                  </pic:nvPicPr>
                  <pic:blipFill>
                    <a:blip r:embed="rId9"/>
                    <a:stretch>
                      <a:fillRect/>
                    </a:stretch>
                  </pic:blipFill>
                  <pic:spPr>
                    <a:xfrm>
                      <a:off x="0" y="0"/>
                      <a:ext cx="2917825" cy="1540510"/>
                    </a:xfrm>
                    <a:prstGeom prst="rect">
                      <a:avLst/>
                    </a:prstGeom>
                    <a:noFill/>
                    <a:ln w="9525">
                      <a:noFill/>
                    </a:ln>
                  </pic:spPr>
                </pic:pic>
              </a:graphicData>
            </a:graphic>
          </wp:inline>
        </w:drawing>
      </w:r>
      <w:r>
        <w:rPr>
          <w:b w:val="0"/>
          <w:bCs w:val="0"/>
          <w:u w:val="none"/>
        </w:rPr>
        <w:drawing>
          <wp:inline distT="0" distB="0" distL="114300" distR="114300">
            <wp:extent cx="2660015" cy="1541145"/>
            <wp:effectExtent l="0" t="0" r="6985" b="1905"/>
            <wp:docPr id="14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图片 9"/>
                    <pic:cNvPicPr>
                      <a:picLocks noChangeAspect="1"/>
                    </pic:cNvPicPr>
                  </pic:nvPicPr>
                  <pic:blipFill>
                    <a:blip r:embed="rId10"/>
                    <a:srcRect b="20923"/>
                    <a:stretch>
                      <a:fillRect/>
                    </a:stretch>
                  </pic:blipFill>
                  <pic:spPr>
                    <a:xfrm>
                      <a:off x="0" y="0"/>
                      <a:ext cx="2660015" cy="1541145"/>
                    </a:xfrm>
                    <a:prstGeom prst="rect">
                      <a:avLst/>
                    </a:prstGeom>
                    <a:noFill/>
                    <a:ln>
                      <a:noFill/>
                    </a:ln>
                  </pic:spPr>
                </pic:pic>
              </a:graphicData>
            </a:graphic>
          </wp:inline>
        </w:drawing>
      </w:r>
      <w:r>
        <w:rPr>
          <w:rFonts w:hint="eastAsia"/>
          <w:b w:val="0"/>
          <w:bCs w:val="0"/>
          <w:u w:val="none"/>
        </w:rPr>
        <w:t xml:space="preserve"> </w:t>
      </w:r>
      <w:r>
        <w:rPr>
          <w:rFonts w:hint="eastAsia"/>
          <w:b w:val="0"/>
          <w:bCs w:val="0"/>
          <w:u w:val="none"/>
          <w:lang w:eastAsia="zh-CN"/>
        </w:rPr>
        <w:t>（</w:t>
      </w:r>
      <w:r>
        <w:rPr>
          <w:rFonts w:hint="eastAsia" w:ascii="仿宋" w:hAnsi="仿宋" w:eastAsia="仿宋" w:cs="仿宋"/>
          <w:b w:val="0"/>
          <w:bCs w:val="0"/>
          <w:sz w:val="28"/>
          <w:szCs w:val="28"/>
          <w:u w:val="none"/>
        </w:rPr>
        <w:t>考生手机务必关机放入手机袋，并摄像头朝下放置</w:t>
      </w:r>
      <w:r>
        <w:rPr>
          <w:rFonts w:hint="eastAsia"/>
          <w:b w:val="0"/>
          <w:bCs w:val="0"/>
          <w:u w:val="none"/>
          <w:lang w:eastAsia="zh-CN"/>
        </w:rPr>
        <w:t>）</w:t>
      </w:r>
    </w:p>
    <w:p>
      <w:pPr>
        <w:pStyle w:val="14"/>
        <w:spacing w:after="0"/>
        <w:textAlignment w:val="baseline"/>
        <w:rPr>
          <w:b w:val="0"/>
          <w:bCs w:val="0"/>
          <w:u w:val="none"/>
        </w:rPr>
      </w:pPr>
      <w:r>
        <w:rPr>
          <w:rFonts w:hint="eastAsia" w:ascii="宋体" w:hAnsi="宋体" w:cs="宋体"/>
          <w:b w:val="0"/>
          <w:bCs w:val="0"/>
          <w:sz w:val="24"/>
          <w:u w:val="none"/>
        </w:rPr>
        <w:drawing>
          <wp:inline distT="0" distB="0" distL="114300" distR="114300">
            <wp:extent cx="2126615" cy="1829435"/>
            <wp:effectExtent l="0" t="0" r="6985" b="18415"/>
            <wp:docPr id="1460" name="图片 1460" descr="823d802e32ee8479225a2f90d40fa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 name="图片 1460" descr="823d802e32ee8479225a2f90d40fa29"/>
                    <pic:cNvPicPr>
                      <a:picLocks noChangeAspect="1"/>
                    </pic:cNvPicPr>
                  </pic:nvPicPr>
                  <pic:blipFill>
                    <a:blip r:embed="rId11"/>
                    <a:stretch>
                      <a:fillRect/>
                    </a:stretch>
                  </pic:blipFill>
                  <pic:spPr>
                    <a:xfrm>
                      <a:off x="0" y="0"/>
                      <a:ext cx="2126615" cy="1829435"/>
                    </a:xfrm>
                    <a:prstGeom prst="rect">
                      <a:avLst/>
                    </a:prstGeom>
                  </pic:spPr>
                </pic:pic>
              </a:graphicData>
            </a:graphic>
          </wp:inline>
        </w:drawing>
      </w:r>
      <w:r>
        <w:rPr>
          <w:b w:val="0"/>
          <w:bCs w:val="0"/>
          <w:u w:val="none"/>
        </w:rPr>
        <w:drawing>
          <wp:inline distT="0" distB="0" distL="114300" distR="114300">
            <wp:extent cx="1698625" cy="1841500"/>
            <wp:effectExtent l="0" t="0" r="15875" b="6350"/>
            <wp:docPr id="14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 name="图片 8"/>
                    <pic:cNvPicPr>
                      <a:picLocks noChangeAspect="1"/>
                    </pic:cNvPicPr>
                  </pic:nvPicPr>
                  <pic:blipFill>
                    <a:blip r:embed="rId12">
                      <a:lum bright="12000" contrast="12000"/>
                    </a:blip>
                    <a:stretch>
                      <a:fillRect/>
                    </a:stretch>
                  </pic:blipFill>
                  <pic:spPr>
                    <a:xfrm>
                      <a:off x="0" y="0"/>
                      <a:ext cx="1698625" cy="1841500"/>
                    </a:xfrm>
                    <a:prstGeom prst="rect">
                      <a:avLst/>
                    </a:prstGeom>
                    <a:noFill/>
                    <a:ln>
                      <a:noFill/>
                    </a:ln>
                  </pic:spPr>
                </pic:pic>
              </a:graphicData>
            </a:graphic>
          </wp:inline>
        </w:drawing>
      </w:r>
      <w:r>
        <w:rPr>
          <w:rFonts w:ascii="宋体" w:hAnsi="宋体" w:cs="宋体"/>
          <w:b w:val="0"/>
          <w:bCs w:val="0"/>
          <w:sz w:val="24"/>
          <w:u w:val="none"/>
        </w:rPr>
        <w:drawing>
          <wp:inline distT="0" distB="0" distL="114300" distR="114300">
            <wp:extent cx="1746250" cy="1825625"/>
            <wp:effectExtent l="0" t="0" r="6350" b="3175"/>
            <wp:docPr id="145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 name="图片 2" descr="IMG_256"/>
                    <pic:cNvPicPr>
                      <a:picLocks noChangeAspect="1"/>
                    </pic:cNvPicPr>
                  </pic:nvPicPr>
                  <pic:blipFill>
                    <a:blip r:embed="rId13"/>
                    <a:srcRect l="3828" t="3099" r="6191" b="3546"/>
                    <a:stretch>
                      <a:fillRect/>
                    </a:stretch>
                  </pic:blipFill>
                  <pic:spPr>
                    <a:xfrm>
                      <a:off x="0" y="0"/>
                      <a:ext cx="1746250" cy="1825625"/>
                    </a:xfrm>
                    <a:prstGeom prst="rect">
                      <a:avLst/>
                    </a:prstGeom>
                    <a:noFill/>
                    <a:ln w="9525">
                      <a:noFill/>
                    </a:ln>
                  </pic:spPr>
                </pic:pic>
              </a:graphicData>
            </a:graphic>
          </wp:inline>
        </w:drawing>
      </w:r>
    </w:p>
    <w:p>
      <w:pPr>
        <w:pStyle w:val="14"/>
        <w:keepNext w:val="0"/>
        <w:keepLines w:val="0"/>
        <w:pageBreakBefore w:val="0"/>
        <w:widowControl w:val="0"/>
        <w:kinsoku/>
        <w:wordWrap/>
        <w:overflowPunct/>
        <w:topLinePunct w:val="0"/>
        <w:autoSpaceDE/>
        <w:autoSpaceDN/>
        <w:bidi w:val="0"/>
        <w:spacing w:after="0" w:line="500" w:lineRule="exact"/>
        <w:jc w:val="center"/>
        <w:textAlignment w:val="baseline"/>
        <w:rPr>
          <w:rFonts w:hint="eastAsia" w:ascii="仿宋" w:hAnsi="仿宋" w:eastAsia="仿宋" w:cs="仿宋"/>
          <w:b w:val="0"/>
          <w:bCs w:val="0"/>
          <w:sz w:val="32"/>
          <w:szCs w:val="32"/>
          <w:u w:val="none"/>
        </w:rPr>
      </w:pPr>
      <w:r>
        <w:rPr>
          <w:rFonts w:hint="eastAsia" w:ascii="仿宋" w:hAnsi="仿宋" w:eastAsia="仿宋" w:cs="仿宋"/>
          <w:b w:val="0"/>
          <w:bCs w:val="0"/>
          <w:sz w:val="28"/>
          <w:szCs w:val="28"/>
          <w:u w:val="none"/>
          <w:lang w:eastAsia="zh-CN"/>
        </w:rPr>
        <w:t>（</w:t>
      </w:r>
      <w:r>
        <w:rPr>
          <w:rFonts w:hint="eastAsia" w:ascii="仿宋" w:hAnsi="仿宋" w:eastAsia="仿宋" w:cs="仿宋"/>
          <w:b w:val="0"/>
          <w:bCs w:val="0"/>
          <w:sz w:val="28"/>
          <w:szCs w:val="28"/>
          <w:u w:val="none"/>
        </w:rPr>
        <w:t>巡蹲考人员签订责任书，全程蹲点巡查并详细记录</w:t>
      </w:r>
      <w:r>
        <w:rPr>
          <w:rFonts w:hint="eastAsia" w:ascii="仿宋" w:hAnsi="仿宋" w:eastAsia="仿宋" w:cs="仿宋"/>
          <w:b w:val="0"/>
          <w:bCs w:val="0"/>
          <w:sz w:val="28"/>
          <w:szCs w:val="28"/>
          <w:u w:val="none"/>
          <w:lang w:eastAsia="zh-CN"/>
        </w:rPr>
        <w:t>）</w:t>
      </w:r>
    </w:p>
    <w:p>
      <w:pPr>
        <w:pStyle w:val="2"/>
        <w:keepNext w:val="0"/>
        <w:keepLines w:val="0"/>
        <w:pageBreakBefore w:val="0"/>
        <w:widowControl w:val="0"/>
        <w:kinsoku/>
        <w:wordWrap/>
        <w:overflowPunct/>
        <w:topLinePunct w:val="0"/>
        <w:autoSpaceDE/>
        <w:autoSpaceDN/>
        <w:bidi w:val="0"/>
        <w:spacing w:after="0" w:line="500" w:lineRule="exact"/>
        <w:ind w:firstLine="640" w:firstLineChars="200"/>
        <w:jc w:val="both"/>
        <w:outlineLvl w:val="0"/>
        <w:rPr>
          <w:rFonts w:ascii="黑体" w:hAnsi="黑体" w:eastAsia="黑体" w:cs="黑体"/>
          <w:b w:val="0"/>
          <w:bCs w:val="0"/>
          <w:sz w:val="32"/>
          <w:szCs w:val="32"/>
          <w:u w:val="none"/>
        </w:rPr>
      </w:pPr>
      <w:r>
        <w:rPr>
          <w:rFonts w:hint="eastAsia" w:ascii="黑体" w:hAnsi="黑体" w:eastAsia="黑体" w:cs="黑体"/>
          <w:b w:val="0"/>
          <w:bCs w:val="0"/>
          <w:sz w:val="32"/>
          <w:szCs w:val="32"/>
          <w:u w:val="none"/>
        </w:rPr>
        <w:t>五、社会服务</w:t>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jc w:val="both"/>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（一）服务地方经济社会发展与学习型社会建设情况</w:t>
      </w:r>
    </w:p>
    <w:p>
      <w:pPr>
        <w:pStyle w:val="2"/>
        <w:keepNext w:val="0"/>
        <w:keepLines w:val="0"/>
        <w:pageBreakBefore w:val="0"/>
        <w:widowControl w:val="0"/>
        <w:kinsoku/>
        <w:wordWrap/>
        <w:overflowPunct/>
        <w:topLinePunct w:val="0"/>
        <w:autoSpaceDE/>
        <w:autoSpaceDN/>
        <w:bidi w:val="0"/>
        <w:spacing w:after="0" w:line="500" w:lineRule="exact"/>
        <w:ind w:firstLine="640" w:firstLineChars="200"/>
        <w:jc w:val="both"/>
        <w:rPr>
          <w:rFonts w:ascii="仿宋" w:hAnsi="仿宋" w:eastAsia="仿宋"/>
          <w:b w:val="0"/>
          <w:bCs w:val="0"/>
          <w:sz w:val="32"/>
          <w:szCs w:val="32"/>
          <w:u w:val="none"/>
        </w:rPr>
      </w:pPr>
      <w:r>
        <w:rPr>
          <w:rFonts w:hint="eastAsia" w:ascii="仿宋" w:hAnsi="仿宋" w:eastAsia="仿宋"/>
          <w:b w:val="0"/>
          <w:bCs w:val="0"/>
          <w:sz w:val="32"/>
          <w:szCs w:val="32"/>
          <w:u w:val="none"/>
        </w:rPr>
        <w:t>1.乡村振兴</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rPr>
          <w:b w:val="0"/>
          <w:bCs w:val="0"/>
          <w:u w:val="none"/>
        </w:rPr>
      </w:pPr>
      <w:r>
        <w:rPr>
          <w:rFonts w:ascii="仿宋" w:hAnsi="仿宋" w:eastAsia="仿宋"/>
          <w:b w:val="0"/>
          <w:bCs w:val="0"/>
          <w:sz w:val="32"/>
          <w:szCs w:val="32"/>
          <w:u w:val="none"/>
        </w:rPr>
        <w:t>根据</w:t>
      </w:r>
      <w:r>
        <w:rPr>
          <w:rFonts w:hint="eastAsia" w:ascii="仿宋" w:hAnsi="仿宋" w:eastAsia="仿宋"/>
          <w:b w:val="0"/>
          <w:bCs w:val="0"/>
          <w:sz w:val="32"/>
          <w:szCs w:val="32"/>
          <w:u w:val="none"/>
          <w:lang w:val="en-US" w:eastAsia="zh-CN"/>
        </w:rPr>
        <w:t>吉安</w:t>
      </w:r>
      <w:r>
        <w:rPr>
          <w:rFonts w:ascii="仿宋" w:hAnsi="仿宋" w:eastAsia="仿宋"/>
          <w:b w:val="0"/>
          <w:bCs w:val="0"/>
          <w:sz w:val="32"/>
          <w:szCs w:val="32"/>
          <w:u w:val="none"/>
        </w:rPr>
        <w:t>市委办公室市政府办公室《关于印发2021-2023年全市乡村振兴定点帮扶重点村工作方案的通知》要求，</w:t>
      </w:r>
      <w:r>
        <w:rPr>
          <w:rFonts w:hint="eastAsia" w:ascii="仿宋" w:hAnsi="仿宋" w:eastAsia="仿宋"/>
          <w:b w:val="0"/>
          <w:bCs w:val="0"/>
          <w:sz w:val="32"/>
          <w:szCs w:val="32"/>
          <w:u w:val="none"/>
        </w:rPr>
        <w:t>吉安</w:t>
      </w:r>
      <w:r>
        <w:rPr>
          <w:rFonts w:hint="eastAsia" w:ascii="仿宋" w:hAnsi="仿宋" w:eastAsia="仿宋"/>
          <w:b w:val="0"/>
          <w:bCs w:val="0"/>
          <w:spacing w:val="-6"/>
          <w:sz w:val="32"/>
          <w:szCs w:val="32"/>
          <w:u w:val="none"/>
        </w:rPr>
        <w:t>开放大学</w:t>
      </w:r>
      <w:r>
        <w:rPr>
          <w:rFonts w:ascii="仿宋" w:hAnsi="仿宋" w:eastAsia="仿宋"/>
          <w:b w:val="0"/>
          <w:bCs w:val="0"/>
          <w:spacing w:val="-6"/>
          <w:sz w:val="32"/>
          <w:szCs w:val="32"/>
          <w:u w:val="none"/>
        </w:rPr>
        <w:t>选派赵先明同志为驻村工作队员</w:t>
      </w:r>
      <w:r>
        <w:rPr>
          <w:rFonts w:hint="eastAsia" w:ascii="仿宋" w:hAnsi="仿宋" w:eastAsia="仿宋"/>
          <w:b w:val="0"/>
          <w:bCs w:val="0"/>
          <w:spacing w:val="-6"/>
          <w:sz w:val="32"/>
          <w:szCs w:val="32"/>
          <w:u w:val="none"/>
        </w:rPr>
        <w:t>，支持乡村振兴战略</w:t>
      </w:r>
      <w:r>
        <w:rPr>
          <w:rFonts w:ascii="仿宋" w:hAnsi="仿宋" w:eastAsia="仿宋"/>
          <w:b w:val="0"/>
          <w:bCs w:val="0"/>
          <w:spacing w:val="-6"/>
          <w:sz w:val="32"/>
          <w:szCs w:val="32"/>
          <w:u w:val="none"/>
        </w:rPr>
        <w:t>。</w:t>
      </w:r>
    </w:p>
    <w:p>
      <w:pPr>
        <w:snapToGrid w:val="0"/>
        <w:jc w:val="both"/>
        <w:rPr>
          <w:rFonts w:ascii="仿宋" w:hAnsi="仿宋" w:eastAsia="仿宋"/>
          <w:b w:val="0"/>
          <w:bCs w:val="0"/>
          <w:sz w:val="32"/>
          <w:szCs w:val="32"/>
          <w:u w:val="none"/>
        </w:rPr>
      </w:pPr>
      <w:r>
        <w:rPr>
          <w:rFonts w:ascii="仿宋" w:hAnsi="仿宋" w:eastAsia="仿宋"/>
          <w:b w:val="0"/>
          <w:bCs w:val="0"/>
          <w:sz w:val="32"/>
          <w:szCs w:val="32"/>
          <w:u w:val="none"/>
        </w:rPr>
        <w:drawing>
          <wp:inline distT="0" distB="0" distL="0" distR="0">
            <wp:extent cx="2743200" cy="2320290"/>
            <wp:effectExtent l="0" t="0" r="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4"/>
                    <a:stretch>
                      <a:fillRect/>
                    </a:stretch>
                  </pic:blipFill>
                  <pic:spPr>
                    <a:xfrm>
                      <a:off x="0" y="0"/>
                      <a:ext cx="2743200" cy="2320697"/>
                    </a:xfrm>
                    <a:prstGeom prst="rect">
                      <a:avLst/>
                    </a:prstGeom>
                  </pic:spPr>
                </pic:pic>
              </a:graphicData>
            </a:graphic>
          </wp:inline>
        </w:drawing>
      </w:r>
      <w:r>
        <w:rPr>
          <w:rFonts w:ascii="仿宋" w:hAnsi="仿宋" w:eastAsia="仿宋"/>
          <w:b w:val="0"/>
          <w:bCs w:val="0"/>
          <w:sz w:val="32"/>
          <w:szCs w:val="32"/>
          <w:u w:val="none"/>
        </w:rPr>
        <w:drawing>
          <wp:inline distT="0" distB="0" distL="0" distR="0">
            <wp:extent cx="2856230" cy="2329180"/>
            <wp:effectExtent l="0" t="0" r="1270" b="1397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5"/>
                    <a:stretch>
                      <a:fillRect/>
                    </a:stretch>
                  </pic:blipFill>
                  <pic:spPr>
                    <a:xfrm>
                      <a:off x="0" y="0"/>
                      <a:ext cx="2856230" cy="2335003"/>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pacing w:after="0"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2.产业服务</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微软雅黑" w:hAnsi="微软雅黑" w:eastAsia="微软雅黑"/>
          <w:b w:val="0"/>
          <w:bCs w:val="0"/>
          <w:sz w:val="22"/>
          <w:u w:val="none"/>
        </w:rPr>
      </w:pPr>
      <w:r>
        <w:rPr>
          <w:rFonts w:ascii="仿宋" w:hAnsi="仿宋" w:eastAsia="仿宋"/>
          <w:b w:val="0"/>
          <w:bCs w:val="0"/>
          <w:sz w:val="32"/>
          <w:szCs w:val="32"/>
          <w:u w:val="none"/>
        </w:rPr>
        <w:t>吉安开放大学响应党中央号召，高度重视巩固拓展脱贫攻坚成果与乡村振兴有效衔接工作，精心选派队员投入帮扶主战场。在</w:t>
      </w:r>
      <w:r>
        <w:rPr>
          <w:rFonts w:hint="eastAsia" w:ascii="仿宋" w:hAnsi="仿宋" w:eastAsia="仿宋"/>
          <w:b w:val="0"/>
          <w:bCs w:val="0"/>
          <w:sz w:val="32"/>
          <w:szCs w:val="32"/>
          <w:u w:val="none"/>
          <w:lang w:val="en-US" w:eastAsia="zh-CN"/>
        </w:rPr>
        <w:t>学</w:t>
      </w:r>
      <w:r>
        <w:rPr>
          <w:rFonts w:ascii="仿宋" w:hAnsi="仿宋" w:eastAsia="仿宋"/>
          <w:b w:val="0"/>
          <w:bCs w:val="0"/>
          <w:sz w:val="32"/>
          <w:szCs w:val="32"/>
          <w:u w:val="none"/>
        </w:rPr>
        <w:t>校帮扶重点村青原区东固畲族乡殷富村</w:t>
      </w:r>
      <w:r>
        <w:rPr>
          <w:rFonts w:hint="eastAsia" w:ascii="仿宋" w:hAnsi="仿宋" w:eastAsia="仿宋"/>
          <w:b w:val="0"/>
          <w:bCs w:val="0"/>
          <w:sz w:val="32"/>
          <w:szCs w:val="32"/>
          <w:u w:val="none"/>
        </w:rPr>
        <w:t>支持</w:t>
      </w:r>
      <w:r>
        <w:rPr>
          <w:rFonts w:ascii="仿宋" w:hAnsi="仿宋" w:eastAsia="仿宋"/>
          <w:b w:val="0"/>
          <w:bCs w:val="0"/>
          <w:sz w:val="32"/>
          <w:szCs w:val="32"/>
          <w:u w:val="none"/>
        </w:rPr>
        <w:t>建设了二个产业点：青原区东固振兴服装加工厂和黑木耳种植基地。吉安开大领导赴帮扶点调研时强调：振兴是新生活、新奋斗的起点，驻村工作队员要明确自身职责，强化责任感和使命感；要明确工作重点，把村党支部打造成坚强战斗堡垒，充分发挥全体党员的先锋模范带头作用；要聚焦“产业兴旺、生态宜居、乡风文明、治理有效、生活富裕”目标和要求，抓实落细，实现农业强、农村美、农民富；要加强驻村工作队自身建设，提高农村工作能力，为农民办实事、办好事，高质量完成帮扶任务。</w:t>
      </w:r>
    </w:p>
    <w:p>
      <w:pPr>
        <w:snapToGrid w:val="0"/>
        <w:rPr>
          <w:rFonts w:ascii="微软雅黑" w:hAnsi="微软雅黑" w:eastAsia="微软雅黑"/>
          <w:b w:val="0"/>
          <w:bCs w:val="0"/>
          <w:sz w:val="22"/>
          <w:u w:val="none"/>
        </w:rPr>
      </w:pPr>
      <w:r>
        <w:rPr>
          <w:rFonts w:ascii="宋体" w:hAnsi="宋体" w:cs="宋体"/>
          <w:b w:val="0"/>
          <w:bCs w:val="0"/>
          <w:sz w:val="24"/>
          <w:u w:val="none"/>
        </w:rPr>
        <w:drawing>
          <wp:inline distT="0" distB="0" distL="114300" distR="114300">
            <wp:extent cx="2816860" cy="1906270"/>
            <wp:effectExtent l="0" t="0" r="2540" b="1778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6"/>
                    <a:stretch>
                      <a:fillRect/>
                    </a:stretch>
                  </pic:blipFill>
                  <pic:spPr>
                    <a:xfrm>
                      <a:off x="0" y="0"/>
                      <a:ext cx="2816860" cy="1906270"/>
                    </a:xfrm>
                    <a:prstGeom prst="rect">
                      <a:avLst/>
                    </a:prstGeom>
                    <a:noFill/>
                    <a:ln w="9525">
                      <a:noFill/>
                    </a:ln>
                  </pic:spPr>
                </pic:pic>
              </a:graphicData>
            </a:graphic>
          </wp:inline>
        </w:drawing>
      </w:r>
      <w:r>
        <w:rPr>
          <w:rFonts w:ascii="仿宋" w:hAnsi="仿宋" w:eastAsia="仿宋"/>
          <w:b w:val="0"/>
          <w:bCs w:val="0"/>
          <w:sz w:val="32"/>
          <w:szCs w:val="32"/>
          <w:u w:val="none"/>
        </w:rPr>
        <w:drawing>
          <wp:inline distT="0" distB="0" distL="0" distR="0">
            <wp:extent cx="2780030" cy="1931670"/>
            <wp:effectExtent l="0" t="0" r="1270" b="1143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7"/>
                    <a:stretch>
                      <a:fillRect/>
                    </a:stretch>
                  </pic:blipFill>
                  <pic:spPr>
                    <a:xfrm>
                      <a:off x="0" y="0"/>
                      <a:ext cx="2780030" cy="1931670"/>
                    </a:xfrm>
                    <a:prstGeom prst="rect">
                      <a:avLst/>
                    </a:prstGeom>
                  </pic:spPr>
                </pic:pic>
              </a:graphicData>
            </a:graphic>
          </wp:inline>
        </w:drawing>
      </w:r>
    </w:p>
    <w:p>
      <w:pPr>
        <w:snapToGrid w:val="0"/>
        <w:rPr>
          <w:rFonts w:ascii="仿宋" w:hAnsi="仿宋" w:eastAsia="仿宋"/>
          <w:b w:val="0"/>
          <w:bCs w:val="0"/>
          <w:sz w:val="32"/>
          <w:szCs w:val="32"/>
          <w:u w:val="none"/>
        </w:rPr>
      </w:pPr>
      <w:r>
        <w:rPr>
          <w:rFonts w:ascii="仿宋" w:hAnsi="仿宋" w:eastAsia="仿宋"/>
          <w:b w:val="0"/>
          <w:bCs w:val="0"/>
          <w:sz w:val="32"/>
          <w:szCs w:val="32"/>
          <w:u w:val="none"/>
        </w:rPr>
        <w:drawing>
          <wp:inline distT="0" distB="0" distL="0" distR="0">
            <wp:extent cx="2809240" cy="2061845"/>
            <wp:effectExtent l="0" t="0" r="10160" b="146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8"/>
                    <a:stretch>
                      <a:fillRect/>
                    </a:stretch>
                  </pic:blipFill>
                  <pic:spPr>
                    <a:xfrm>
                      <a:off x="0" y="0"/>
                      <a:ext cx="2809240" cy="2061845"/>
                    </a:xfrm>
                    <a:prstGeom prst="rect">
                      <a:avLst/>
                    </a:prstGeom>
                  </pic:spPr>
                </pic:pic>
              </a:graphicData>
            </a:graphic>
          </wp:inline>
        </w:drawing>
      </w:r>
      <w:r>
        <w:rPr>
          <w:rFonts w:ascii="宋体" w:hAnsi="宋体" w:cs="宋体"/>
          <w:b w:val="0"/>
          <w:bCs w:val="0"/>
          <w:sz w:val="24"/>
          <w:u w:val="none"/>
        </w:rPr>
        <w:drawing>
          <wp:inline distT="0" distB="0" distL="114300" distR="114300">
            <wp:extent cx="2778760" cy="2082165"/>
            <wp:effectExtent l="0" t="0" r="2540" b="13335"/>
            <wp:docPr id="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6"/>
                    <pic:cNvPicPr>
                      <a:picLocks noChangeAspect="1"/>
                    </pic:cNvPicPr>
                  </pic:nvPicPr>
                  <pic:blipFill>
                    <a:blip r:embed="rId19"/>
                    <a:stretch>
                      <a:fillRect/>
                    </a:stretch>
                  </pic:blipFill>
                  <pic:spPr>
                    <a:xfrm>
                      <a:off x="0" y="0"/>
                      <a:ext cx="2778760" cy="20821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3.</w:t>
      </w:r>
      <w:r>
        <w:rPr>
          <w:rFonts w:ascii="仿宋" w:hAnsi="仿宋" w:eastAsia="仿宋"/>
          <w:b w:val="0"/>
          <w:bCs w:val="0"/>
          <w:sz w:val="32"/>
          <w:szCs w:val="32"/>
          <w:u w:val="none"/>
        </w:rPr>
        <w:t>社区教育</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cs="仿宋"/>
          <w:b w:val="0"/>
          <w:bCs w:val="0"/>
          <w:sz w:val="32"/>
          <w:szCs w:val="32"/>
          <w:u w:val="none"/>
        </w:rPr>
      </w:pPr>
      <w:r>
        <w:rPr>
          <w:rFonts w:hint="eastAsia" w:ascii="仿宋" w:hAnsi="仿宋" w:eastAsia="仿宋" w:cs="仿宋"/>
          <w:b w:val="0"/>
          <w:bCs w:val="0"/>
          <w:sz w:val="32"/>
          <w:szCs w:val="32"/>
          <w:u w:val="none"/>
        </w:rPr>
        <w:t>为全面落实《江西省教育厅等十部门关于加快推进社区教育发展的实施意见》（赣教发〔2018〕3号）及《吉安市教育局等九部门关于加快发展我市社区教育的实施意见》（吉教办字〔2018〕357号），进一步推动吉安市社区教育事业发展，提升全民素质，建设学习型社会。吉安开放大学依托吉安市社区教育指导中心开展了一系列的工作。</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cs="仿宋"/>
          <w:b w:val="0"/>
          <w:bCs w:val="0"/>
          <w:sz w:val="32"/>
          <w:szCs w:val="32"/>
          <w:u w:val="none"/>
        </w:rPr>
      </w:pPr>
      <w:r>
        <w:rPr>
          <w:rFonts w:hint="eastAsia" w:ascii="仿宋" w:hAnsi="仿宋" w:eastAsia="仿宋" w:cs="仿宋"/>
          <w:b w:val="0"/>
          <w:bCs w:val="0"/>
          <w:sz w:val="32"/>
          <w:szCs w:val="32"/>
          <w:u w:val="none"/>
        </w:rPr>
        <w:t>（1）健全了社区教育指导机构。吉安市社区教育指导中心根据吉安市的实际情况研究讨论并向市教体局报告，由市教体局下发了《关于加快推进三级社区教育机构建设的通知》。根据文件精神各县（市、区）积极行动，</w:t>
      </w:r>
      <w:r>
        <w:rPr>
          <w:rFonts w:hint="eastAsia" w:ascii="仿宋" w:hAnsi="仿宋" w:eastAsia="仿宋" w:cs="仿宋"/>
          <w:b w:val="0"/>
          <w:bCs w:val="0"/>
          <w:sz w:val="32"/>
          <w:szCs w:val="32"/>
          <w:u w:val="none"/>
          <w:lang w:eastAsia="zh-CN"/>
        </w:rPr>
        <w:t>截至</w:t>
      </w:r>
      <w:r>
        <w:rPr>
          <w:rFonts w:hint="eastAsia" w:ascii="仿宋" w:hAnsi="仿宋" w:eastAsia="仿宋" w:cs="仿宋"/>
          <w:b w:val="0"/>
          <w:bCs w:val="0"/>
          <w:sz w:val="32"/>
          <w:szCs w:val="32"/>
          <w:u w:val="none"/>
        </w:rPr>
        <w:t>2021年10月，全市13个各县</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市、区</w:t>
      </w:r>
      <w:r>
        <w:rPr>
          <w:rFonts w:hint="eastAsia" w:ascii="仿宋" w:hAnsi="仿宋" w:eastAsia="仿宋" w:cs="仿宋"/>
          <w:b w:val="0"/>
          <w:bCs w:val="0"/>
          <w:sz w:val="32"/>
          <w:szCs w:val="32"/>
          <w:u w:val="none"/>
          <w:lang w:eastAsia="zh-CN"/>
        </w:rPr>
        <w:t>）</w:t>
      </w:r>
      <w:r>
        <w:rPr>
          <w:rFonts w:hint="eastAsia" w:ascii="仿宋" w:hAnsi="仿宋" w:eastAsia="仿宋" w:cs="仿宋"/>
          <w:b w:val="0"/>
          <w:bCs w:val="0"/>
          <w:sz w:val="32"/>
          <w:szCs w:val="32"/>
          <w:u w:val="none"/>
        </w:rPr>
        <w:t>均挂牌社区教育指导中心，2个街道，56个社区，65个乡镇，627个村委已经挂牌，目前已经初步完成既定计划。</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cs="仿宋"/>
          <w:b w:val="0"/>
          <w:bCs w:val="0"/>
          <w:sz w:val="32"/>
          <w:szCs w:val="32"/>
          <w:u w:val="none"/>
        </w:rPr>
      </w:pPr>
      <w:r>
        <w:rPr>
          <w:rFonts w:hint="eastAsia" w:ascii="仿宋" w:hAnsi="仿宋" w:eastAsia="仿宋" w:cs="仿宋"/>
          <w:b w:val="0"/>
          <w:bCs w:val="0"/>
          <w:sz w:val="32"/>
          <w:szCs w:val="32"/>
          <w:u w:val="none"/>
        </w:rPr>
        <w:t>（2）建立了社区教育工作考核。建立了社区教育考核制度，开展了社区教育工作调研，将社区教育纳入市教体局对各县（市、区）教体局重点工作考核内容。调研组先后到吉安县、遂川县、井冈山市开展社区教育工作调研，了解当地社区教育发展的现状，农村社区教育发展情况，实地走访一线社区教育场所，梳理各县社区教育所遇到的困难与问题。</w:t>
      </w:r>
    </w:p>
    <w:tbl>
      <w:tblPr>
        <w:tblStyle w:val="12"/>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60" w:type="dxa"/>
          <w:bottom w:w="120" w:type="dxa"/>
          <w:right w:w="60" w:type="dxa"/>
        </w:tblCellMar>
      </w:tblPr>
      <w:tblGrid>
        <w:gridCol w:w="2605"/>
        <w:gridCol w:w="6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trPr>
        <w:tc>
          <w:tcPr>
            <w:tcW w:w="145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目前调查现状</w:t>
            </w:r>
          </w:p>
        </w:tc>
        <w:tc>
          <w:tcPr>
            <w:tcW w:w="354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ind w:firstLine="560" w:firstLineChars="200"/>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存在的问题及困难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trPr>
        <w:tc>
          <w:tcPr>
            <w:tcW w:w="145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县级社区教育指导中心已经挂牌，出现各乡镇积极挂牌，县政府要求摘牌的情况。</w:t>
            </w:r>
          </w:p>
        </w:tc>
        <w:tc>
          <w:tcPr>
            <w:tcW w:w="354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乡镇挂牌存在阻力，2019年省委、省政府印发了《全省基层挂牌和考核评比专项清理整治方案》，规划了挂牌和考核工作。吉安县、遂川县2021年上半年挂牌和考核专项清理整治活动，把已经挂牌的社区教育学校列为清理问题，各乡镇、社区都按要求进行了摘牌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trPr>
        <w:tc>
          <w:tcPr>
            <w:tcW w:w="145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无社区教育经费，希望社区教育专项经费列入财政预算。</w:t>
            </w:r>
          </w:p>
        </w:tc>
        <w:tc>
          <w:tcPr>
            <w:tcW w:w="354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上级没有硬性文件规定，没有财政配套经费，导致申请不被批准。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60" w:type="dxa"/>
            <w:bottom w:w="120" w:type="dxa"/>
            <w:right w:w="60" w:type="dxa"/>
          </w:tblCellMar>
        </w:tblPrEx>
        <w:trPr>
          <w:trHeight w:val="170" w:hRule="atLeast"/>
        </w:trPr>
        <w:tc>
          <w:tcPr>
            <w:tcW w:w="1453"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开展社区活动困难，社区不配合</w:t>
            </w:r>
          </w:p>
        </w:tc>
        <w:tc>
          <w:tcPr>
            <w:tcW w:w="354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auto"/>
              <w:rPr>
                <w:rFonts w:ascii="仿宋" w:hAnsi="仿宋" w:eastAsia="仿宋"/>
                <w:b w:val="0"/>
                <w:bCs w:val="0"/>
                <w:sz w:val="28"/>
                <w:szCs w:val="28"/>
                <w:u w:val="none"/>
              </w:rPr>
            </w:pPr>
            <w:r>
              <w:rPr>
                <w:rFonts w:ascii="仿宋" w:hAnsi="仿宋" w:eastAsia="仿宋"/>
                <w:b w:val="0"/>
                <w:bCs w:val="0"/>
                <w:sz w:val="28"/>
                <w:szCs w:val="28"/>
                <w:u w:val="none"/>
              </w:rPr>
              <w:t>社区不归教体局分管，教体局推进工作的开展步履维艰。</w:t>
            </w:r>
          </w:p>
        </w:tc>
      </w:tr>
    </w:tbl>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cs="仿宋"/>
          <w:b w:val="0"/>
          <w:bCs w:val="0"/>
          <w:sz w:val="32"/>
          <w:szCs w:val="32"/>
          <w:u w:val="none"/>
        </w:rPr>
        <w:t>（3）</w:t>
      </w:r>
      <w:r>
        <w:rPr>
          <w:rFonts w:hint="eastAsia" w:ascii="仿宋" w:hAnsi="仿宋" w:eastAsia="仿宋"/>
          <w:b w:val="0"/>
          <w:bCs w:val="0"/>
          <w:sz w:val="32"/>
          <w:szCs w:val="32"/>
          <w:u w:val="none"/>
        </w:rPr>
        <w:t>开展“智慧助老”专题系列活动。吉安市社区教育指导中心根据老年人的特点和需求，精心筹划，积极联合医院、银行等相关部门，开展了“切实解决老年人运用智能技术困难”暨“我为群众办实事”进社区系列活动。先后到新圩镇、解放桥社区以及邀请友谊社区、井大老干处的居民到吉安开放大学开展活动。如“老年营养与保健”公益宣讲、“日常就医网上手续办理”专题培训、免费义诊、“携手进社区，助力老年防诈骗、保健康”等，服务社区居民近400人。</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cs="仿宋"/>
          <w:b w:val="0"/>
          <w:bCs w:val="0"/>
          <w:sz w:val="32"/>
          <w:szCs w:val="32"/>
          <w:u w:val="none"/>
        </w:rPr>
        <w:t>（4）</w:t>
      </w:r>
      <w:r>
        <w:rPr>
          <w:rFonts w:hint="eastAsia" w:ascii="仿宋" w:hAnsi="仿宋" w:eastAsia="仿宋"/>
          <w:b w:val="0"/>
          <w:bCs w:val="0"/>
          <w:sz w:val="32"/>
          <w:szCs w:val="32"/>
          <w:u w:val="none"/>
        </w:rPr>
        <w:t>做好“全民终身学习活动周”评选工作。制定了全市“全民终身学习活动周”工作方案，开展了全国、全省“百姓学习之星”、“终身学习品牌”等项目遴选推优工作。2021年，吉安市有4人被评为省“百姓学习之星”，1个省“终身学习品牌”项目。申报了“能者为师”社区教育实践创新项目。</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cs="仿宋"/>
          <w:b w:val="0"/>
          <w:bCs w:val="0"/>
          <w:sz w:val="32"/>
          <w:szCs w:val="32"/>
          <w:u w:val="none"/>
        </w:rPr>
        <w:t>（5）</w:t>
      </w:r>
      <w:r>
        <w:rPr>
          <w:rFonts w:hint="eastAsia" w:ascii="仿宋" w:hAnsi="仿宋" w:eastAsia="仿宋"/>
          <w:b w:val="0"/>
          <w:bCs w:val="0"/>
          <w:sz w:val="32"/>
          <w:szCs w:val="32"/>
          <w:u w:val="none"/>
        </w:rPr>
        <w:t>有序引进社区教育培训机构。有序引进安泰职业培训学校开展人力资源培训，着力打造社区教育+项目示范窗口。</w:t>
      </w:r>
    </w:p>
    <w:p>
      <w:pPr>
        <w:keepNext w:val="0"/>
        <w:keepLines w:val="0"/>
        <w:pageBreakBefore w:val="0"/>
        <w:widowControl w:val="0"/>
        <w:kinsoku/>
        <w:wordWrap/>
        <w:overflowPunct/>
        <w:topLinePunct w:val="0"/>
        <w:autoSpaceDE/>
        <w:autoSpaceDN/>
        <w:bidi w:val="0"/>
        <w:adjustRightInd/>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4.职业培训</w:t>
      </w:r>
    </w:p>
    <w:p>
      <w:pPr>
        <w:pStyle w:val="14"/>
        <w:keepNext w:val="0"/>
        <w:keepLines w:val="0"/>
        <w:pageBreakBefore w:val="0"/>
        <w:widowControl w:val="0"/>
        <w:kinsoku/>
        <w:wordWrap/>
        <w:overflowPunct/>
        <w:topLinePunct w:val="0"/>
        <w:autoSpaceDE/>
        <w:autoSpaceDN/>
        <w:bidi w:val="0"/>
        <w:adjustRightInd/>
        <w:spacing w:after="0"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吉安开放大学顺应新时代教育需求，依托学校现有的教育部人文社科重点研究基地、全国高校思想政治理论课教师研修基地、教育部机关党校井冈山培训基地、国家开放大学思政教育基地、江西开放大学思政教育基地、江西红色文化研究与传承应用协同创新中心博士后科研工作站等国家（省）级平台，大力挖掘井冈山及周边地区的红色资源，积极探索开展井冈山党性教育红色培训，走出校门，走向社会，努力打造学校成为吸引干部党性教育的“红色磁场”，让全社会真真实实感受到吉安开放大学是宣传和弘扬井冈山精神的主阵地。</w:t>
      </w:r>
    </w:p>
    <w:p>
      <w:pPr>
        <w:pStyle w:val="14"/>
        <w:keepNext w:val="0"/>
        <w:keepLines w:val="0"/>
        <w:pageBreakBefore w:val="0"/>
        <w:widowControl w:val="0"/>
        <w:kinsoku/>
        <w:wordWrap/>
        <w:overflowPunct/>
        <w:topLinePunct w:val="0"/>
        <w:autoSpaceDE/>
        <w:autoSpaceDN/>
        <w:bidi w:val="0"/>
        <w:adjustRightInd/>
        <w:spacing w:after="0"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近几年积极开展了提高技能业务培训、红色培训、国培计划等各类培训，为全国各地党政机关、高校中小学等举办培训班550余期，培训学员2.3万余名。</w:t>
      </w:r>
    </w:p>
    <w:p>
      <w:pPr>
        <w:snapToGrid w:val="0"/>
        <w:rPr>
          <w:rFonts w:ascii="微软雅黑" w:hAnsi="微软雅黑" w:eastAsia="微软雅黑"/>
          <w:b w:val="0"/>
          <w:bCs w:val="0"/>
          <w:sz w:val="22"/>
          <w:szCs w:val="22"/>
          <w:u w:val="none"/>
        </w:rPr>
      </w:pPr>
      <w:r>
        <w:rPr>
          <w:rFonts w:ascii="微软雅黑" w:hAnsi="微软雅黑" w:eastAsia="微软雅黑"/>
          <w:b w:val="0"/>
          <w:bCs w:val="0"/>
          <w:sz w:val="22"/>
          <w:szCs w:val="22"/>
          <w:u w:val="none"/>
        </w:rPr>
        <w:drawing>
          <wp:inline distT="0" distB="0" distL="0" distR="0">
            <wp:extent cx="2686050" cy="3315335"/>
            <wp:effectExtent l="0" t="0" r="0" b="184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0"/>
                    <a:stretch>
                      <a:fillRect/>
                    </a:stretch>
                  </pic:blipFill>
                  <pic:spPr>
                    <a:xfrm>
                      <a:off x="0" y="0"/>
                      <a:ext cx="2686050" cy="3315335"/>
                    </a:xfrm>
                    <a:prstGeom prst="rect">
                      <a:avLst/>
                    </a:prstGeom>
                  </pic:spPr>
                </pic:pic>
              </a:graphicData>
            </a:graphic>
          </wp:inline>
        </w:drawing>
      </w:r>
      <w:r>
        <w:rPr>
          <w:rFonts w:ascii="微软雅黑" w:hAnsi="微软雅黑" w:eastAsia="微软雅黑"/>
          <w:b w:val="0"/>
          <w:bCs w:val="0"/>
          <w:sz w:val="22"/>
          <w:szCs w:val="22"/>
          <w:u w:val="none"/>
        </w:rPr>
        <w:drawing>
          <wp:inline distT="0" distB="0" distL="0" distR="0">
            <wp:extent cx="2914650" cy="332422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1"/>
                    <a:stretch>
                      <a:fillRect/>
                    </a:stretch>
                  </pic:blipFill>
                  <pic:spPr>
                    <a:xfrm>
                      <a:off x="0" y="0"/>
                      <a:ext cx="2914650" cy="3324225"/>
                    </a:xfrm>
                    <a:prstGeom prst="rect">
                      <a:avLst/>
                    </a:prstGeom>
                  </pic:spPr>
                </pic:pic>
              </a:graphicData>
            </a:graphic>
          </wp:inline>
        </w:drawing>
      </w:r>
    </w:p>
    <w:p>
      <w:pPr>
        <w:snapToGrid w:val="0"/>
        <w:rPr>
          <w:rFonts w:ascii="微软雅黑" w:hAnsi="微软雅黑" w:eastAsia="微软雅黑"/>
          <w:b w:val="0"/>
          <w:bCs w:val="0"/>
          <w:sz w:val="22"/>
          <w:szCs w:val="22"/>
          <w:u w:val="none"/>
        </w:rPr>
      </w:pPr>
      <w:r>
        <w:rPr>
          <w:rFonts w:ascii="微软雅黑" w:hAnsi="微软雅黑" w:eastAsia="微软雅黑"/>
          <w:b w:val="0"/>
          <w:bCs w:val="0"/>
          <w:sz w:val="22"/>
          <w:szCs w:val="22"/>
          <w:u w:val="none"/>
        </w:rPr>
        <w:drawing>
          <wp:inline distT="0" distB="0" distL="0" distR="0">
            <wp:extent cx="2713990" cy="3486150"/>
            <wp:effectExtent l="0" t="0" r="1016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2"/>
                    <a:stretch>
                      <a:fillRect/>
                    </a:stretch>
                  </pic:blipFill>
                  <pic:spPr>
                    <a:xfrm>
                      <a:off x="0" y="0"/>
                      <a:ext cx="2713990" cy="3486150"/>
                    </a:xfrm>
                    <a:prstGeom prst="rect">
                      <a:avLst/>
                    </a:prstGeom>
                  </pic:spPr>
                </pic:pic>
              </a:graphicData>
            </a:graphic>
          </wp:inline>
        </w:drawing>
      </w:r>
      <w:r>
        <w:rPr>
          <w:rFonts w:ascii="微软雅黑" w:hAnsi="微软雅黑" w:eastAsia="微软雅黑"/>
          <w:b w:val="0"/>
          <w:bCs w:val="0"/>
          <w:sz w:val="22"/>
          <w:szCs w:val="22"/>
          <w:u w:val="none"/>
        </w:rPr>
        <w:drawing>
          <wp:inline distT="0" distB="0" distL="0" distR="0">
            <wp:extent cx="2858135" cy="3486150"/>
            <wp:effectExtent l="0" t="0" r="184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3"/>
                    <a:stretch>
                      <a:fillRect/>
                    </a:stretch>
                  </pic:blipFill>
                  <pic:spPr>
                    <a:xfrm>
                      <a:off x="0" y="0"/>
                      <a:ext cx="2858135" cy="3486150"/>
                    </a:xfrm>
                    <a:prstGeom prst="rect">
                      <a:avLst/>
                    </a:prstGeom>
                  </pic:spPr>
                </pic:pic>
              </a:graphicData>
            </a:graphic>
          </wp:inline>
        </w:drawing>
      </w:r>
    </w:p>
    <w:p>
      <w:pPr>
        <w:snapToGrid w:val="0"/>
        <w:spacing w:line="500" w:lineRule="exact"/>
        <w:jc w:val="center"/>
        <w:rPr>
          <w:rFonts w:ascii="楷体" w:hAnsi="楷体" w:eastAsia="楷体" w:cs="楷体"/>
          <w:b w:val="0"/>
          <w:bCs w:val="0"/>
          <w:sz w:val="32"/>
          <w:szCs w:val="32"/>
          <w:u w:val="none"/>
        </w:rPr>
      </w:pPr>
      <w:r>
        <w:rPr>
          <w:rFonts w:hint="eastAsia" w:ascii="仿宋" w:hAnsi="仿宋" w:eastAsia="仿宋" w:cs="仿宋"/>
          <w:b w:val="0"/>
          <w:bCs w:val="0"/>
          <w:sz w:val="28"/>
          <w:szCs w:val="28"/>
          <w:u w:val="none"/>
          <w:lang w:eastAsia="zh-CN"/>
        </w:rPr>
        <w:t>（</w:t>
      </w:r>
      <w:r>
        <w:rPr>
          <w:rFonts w:hint="eastAsia" w:ascii="仿宋" w:hAnsi="仿宋" w:eastAsia="仿宋" w:cs="仿宋"/>
          <w:b w:val="0"/>
          <w:bCs w:val="0"/>
          <w:sz w:val="28"/>
          <w:szCs w:val="28"/>
          <w:u w:val="none"/>
        </w:rPr>
        <w:t>红色培训项目规范书</w:t>
      </w:r>
      <w:r>
        <w:rPr>
          <w:rFonts w:hint="eastAsia" w:ascii="仿宋" w:hAnsi="仿宋" w:eastAsia="仿宋" w:cs="仿宋"/>
          <w:b w:val="0"/>
          <w:bCs w:val="0"/>
          <w:sz w:val="28"/>
          <w:szCs w:val="28"/>
          <w:u w:val="none"/>
          <w:lang w:eastAsia="zh-CN"/>
        </w:rPr>
        <w:t>）</w:t>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jc w:val="both"/>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（二）对口支援、教育帮扶情况</w:t>
      </w:r>
    </w:p>
    <w:p>
      <w:pPr>
        <w:keepNext w:val="0"/>
        <w:keepLines w:val="0"/>
        <w:pageBreakBefore w:val="0"/>
        <w:widowControl w:val="0"/>
        <w:kinsoku/>
        <w:wordWrap/>
        <w:overflowPunct/>
        <w:topLinePunct w:val="0"/>
        <w:autoSpaceDE/>
        <w:autoSpaceDN/>
        <w:bidi w:val="0"/>
        <w:snapToGrid w:val="0"/>
        <w:spacing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1.</w:t>
      </w:r>
      <w:r>
        <w:rPr>
          <w:rFonts w:ascii="仿宋" w:hAnsi="仿宋" w:eastAsia="仿宋"/>
          <w:b w:val="0"/>
          <w:bCs w:val="0"/>
          <w:sz w:val="32"/>
          <w:szCs w:val="32"/>
          <w:u w:val="none"/>
        </w:rPr>
        <w:t>响应党中央号召，高度重视巩固拓展脱贫攻坚成果与乡村振兴有效衔接工作，精心选派队员投入帮扶主战场。在</w:t>
      </w:r>
      <w:r>
        <w:rPr>
          <w:rFonts w:hint="eastAsia" w:ascii="仿宋" w:hAnsi="仿宋" w:eastAsia="仿宋"/>
          <w:b w:val="0"/>
          <w:bCs w:val="0"/>
          <w:sz w:val="32"/>
          <w:szCs w:val="32"/>
          <w:u w:val="none"/>
          <w:lang w:val="en-US" w:eastAsia="zh-CN"/>
        </w:rPr>
        <w:t>学</w:t>
      </w:r>
      <w:r>
        <w:rPr>
          <w:rFonts w:ascii="仿宋" w:hAnsi="仿宋" w:eastAsia="仿宋"/>
          <w:b w:val="0"/>
          <w:bCs w:val="0"/>
          <w:sz w:val="32"/>
          <w:szCs w:val="32"/>
          <w:u w:val="none"/>
        </w:rPr>
        <w:t>校帮扶重点村青原区东固畲族乡殷富村投入建设了二个产业点：青原区东固振兴服装加工厂和黑木耳种植基地。驻村工作队</w:t>
      </w:r>
      <w:r>
        <w:rPr>
          <w:rFonts w:hint="eastAsia" w:ascii="仿宋" w:hAnsi="仿宋" w:eastAsia="仿宋"/>
          <w:b w:val="0"/>
          <w:bCs w:val="0"/>
          <w:sz w:val="32"/>
          <w:szCs w:val="32"/>
          <w:u w:val="none"/>
        </w:rPr>
        <w:t>加强</w:t>
      </w:r>
      <w:r>
        <w:rPr>
          <w:rFonts w:ascii="仿宋" w:hAnsi="仿宋" w:eastAsia="仿宋"/>
          <w:b w:val="0"/>
          <w:bCs w:val="0"/>
          <w:sz w:val="32"/>
          <w:szCs w:val="32"/>
          <w:u w:val="none"/>
        </w:rPr>
        <w:t>自身建设，提高农村工作能力，为农民办实事、办好事，高质量完成帮扶任务。</w:t>
      </w:r>
    </w:p>
    <w:p>
      <w:pPr>
        <w:pStyle w:val="14"/>
        <w:keepNext w:val="0"/>
        <w:keepLines w:val="0"/>
        <w:pageBreakBefore w:val="0"/>
        <w:widowControl w:val="0"/>
        <w:kinsoku/>
        <w:wordWrap/>
        <w:overflowPunct/>
        <w:topLinePunct w:val="0"/>
        <w:autoSpaceDE/>
        <w:autoSpaceDN/>
        <w:bidi w:val="0"/>
        <w:spacing w:after="0" w:line="500" w:lineRule="exact"/>
        <w:ind w:firstLine="640" w:firstLineChars="200"/>
        <w:jc w:val="both"/>
        <w:textAlignment w:val="auto"/>
        <w:rPr>
          <w:rFonts w:ascii="仿宋" w:hAnsi="仿宋" w:eastAsia="仿宋"/>
          <w:b w:val="0"/>
          <w:bCs w:val="0"/>
          <w:sz w:val="32"/>
          <w:szCs w:val="32"/>
          <w:u w:val="none"/>
        </w:rPr>
      </w:pPr>
      <w:r>
        <w:rPr>
          <w:rFonts w:hint="eastAsia" w:ascii="仿宋" w:hAnsi="仿宋" w:eastAsia="仿宋" w:cstheme="minorBidi"/>
          <w:b w:val="0"/>
          <w:bCs w:val="0"/>
          <w:sz w:val="32"/>
          <w:szCs w:val="32"/>
          <w:u w:val="none"/>
        </w:rPr>
        <w:t>2.久久为功，</w:t>
      </w:r>
      <w:r>
        <w:rPr>
          <w:rFonts w:ascii="仿宋" w:hAnsi="仿宋" w:eastAsia="仿宋" w:cstheme="minorBidi"/>
          <w:b w:val="0"/>
          <w:bCs w:val="0"/>
          <w:sz w:val="32"/>
          <w:szCs w:val="32"/>
          <w:u w:val="none"/>
        </w:rPr>
        <w:t>积极开展</w:t>
      </w:r>
      <w:r>
        <w:rPr>
          <w:rFonts w:hint="eastAsia" w:ascii="仿宋" w:hAnsi="仿宋" w:eastAsia="仿宋" w:cstheme="minorBidi"/>
          <w:b w:val="0"/>
          <w:bCs w:val="0"/>
          <w:sz w:val="32"/>
          <w:szCs w:val="32"/>
          <w:u w:val="none"/>
        </w:rPr>
        <w:t>“</w:t>
      </w:r>
      <w:r>
        <w:rPr>
          <w:rFonts w:ascii="仿宋" w:hAnsi="仿宋" w:eastAsia="仿宋" w:cstheme="minorBidi"/>
          <w:b w:val="0"/>
          <w:bCs w:val="0"/>
          <w:sz w:val="32"/>
          <w:szCs w:val="32"/>
          <w:u w:val="none"/>
        </w:rPr>
        <w:t>思政</w:t>
      </w:r>
      <w:r>
        <w:rPr>
          <w:rFonts w:hint="eastAsia" w:ascii="仿宋" w:hAnsi="仿宋" w:eastAsia="仿宋" w:cstheme="minorBidi"/>
          <w:b w:val="0"/>
          <w:bCs w:val="0"/>
          <w:sz w:val="32"/>
          <w:szCs w:val="32"/>
          <w:u w:val="none"/>
        </w:rPr>
        <w:t>教学”“教学思政”多方位</w:t>
      </w:r>
      <w:r>
        <w:rPr>
          <w:rFonts w:ascii="仿宋" w:hAnsi="仿宋" w:eastAsia="仿宋" w:cstheme="minorBidi"/>
          <w:b w:val="0"/>
          <w:bCs w:val="0"/>
          <w:sz w:val="32"/>
          <w:szCs w:val="32"/>
          <w:u w:val="none"/>
        </w:rPr>
        <w:t>送教下乡活动</w:t>
      </w:r>
      <w:r>
        <w:rPr>
          <w:rFonts w:hint="eastAsia" w:ascii="仿宋" w:hAnsi="仿宋" w:eastAsia="仿宋" w:cstheme="minorBidi"/>
          <w:b w:val="0"/>
          <w:bCs w:val="0"/>
          <w:sz w:val="32"/>
          <w:szCs w:val="32"/>
          <w:u w:val="none"/>
        </w:rPr>
        <w:t>。如：</w:t>
      </w:r>
      <w:r>
        <w:rPr>
          <w:rFonts w:ascii="仿宋" w:hAnsi="仿宋" w:eastAsia="仿宋" w:cstheme="minorBidi"/>
          <w:b w:val="0"/>
          <w:bCs w:val="0"/>
          <w:sz w:val="32"/>
          <w:szCs w:val="32"/>
          <w:u w:val="none"/>
        </w:rPr>
        <w:t>支部书记</w:t>
      </w:r>
      <w:r>
        <w:rPr>
          <w:rFonts w:hint="eastAsia" w:ascii="仿宋" w:hAnsi="仿宋" w:eastAsia="仿宋" w:cstheme="minorBidi"/>
          <w:b w:val="0"/>
          <w:bCs w:val="0"/>
          <w:sz w:val="32"/>
          <w:szCs w:val="32"/>
          <w:u w:val="none"/>
        </w:rPr>
        <w:t>、副校长</w:t>
      </w:r>
      <w:r>
        <w:rPr>
          <w:rFonts w:ascii="仿宋" w:hAnsi="仿宋" w:eastAsia="仿宋" w:cstheme="minorBidi"/>
          <w:b w:val="0"/>
          <w:bCs w:val="0"/>
          <w:sz w:val="32"/>
          <w:szCs w:val="32"/>
          <w:u w:val="none"/>
        </w:rPr>
        <w:t>王志民</w:t>
      </w:r>
      <w:r>
        <w:rPr>
          <w:rFonts w:hint="eastAsia" w:ascii="仿宋" w:hAnsi="仿宋" w:eastAsia="仿宋" w:cstheme="minorBidi"/>
          <w:b w:val="0"/>
          <w:bCs w:val="0"/>
          <w:sz w:val="32"/>
          <w:szCs w:val="32"/>
          <w:u w:val="none"/>
        </w:rPr>
        <w:t>2021年赴</w:t>
      </w:r>
      <w:r>
        <w:rPr>
          <w:rFonts w:ascii="仿宋" w:hAnsi="仿宋" w:eastAsia="仿宋" w:cstheme="minorBidi"/>
          <w:b w:val="0"/>
          <w:bCs w:val="0"/>
          <w:sz w:val="32"/>
          <w:szCs w:val="32"/>
          <w:u w:val="none"/>
        </w:rPr>
        <w:t>新干党校“送党史下乡”活动</w:t>
      </w:r>
      <w:r>
        <w:rPr>
          <w:rFonts w:hint="eastAsia" w:ascii="仿宋" w:hAnsi="仿宋" w:eastAsia="仿宋" w:cstheme="minorBidi"/>
          <w:b w:val="0"/>
          <w:bCs w:val="0"/>
          <w:sz w:val="32"/>
          <w:szCs w:val="32"/>
          <w:u w:val="none"/>
        </w:rPr>
        <w:t>，专题</w:t>
      </w:r>
      <w:r>
        <w:rPr>
          <w:rFonts w:ascii="仿宋" w:hAnsi="仿宋" w:eastAsia="仿宋" w:cstheme="minorBidi"/>
          <w:b w:val="0"/>
          <w:bCs w:val="0"/>
          <w:sz w:val="32"/>
          <w:szCs w:val="32"/>
          <w:u w:val="none"/>
        </w:rPr>
        <w:t>讲授《传承红色基因，发扬井冈山精神》</w:t>
      </w:r>
      <w:r>
        <w:rPr>
          <w:rFonts w:hint="eastAsia" w:ascii="仿宋" w:hAnsi="仿宋" w:eastAsia="仿宋" w:cstheme="minorBidi"/>
          <w:b w:val="0"/>
          <w:bCs w:val="0"/>
          <w:sz w:val="32"/>
          <w:szCs w:val="32"/>
          <w:u w:val="none"/>
        </w:rPr>
        <w:t>；以</w:t>
      </w:r>
      <w:r>
        <w:rPr>
          <w:rFonts w:ascii="仿宋" w:hAnsi="仿宋" w:eastAsia="仿宋" w:cstheme="minorBidi"/>
          <w:b w:val="0"/>
          <w:bCs w:val="0"/>
          <w:sz w:val="32"/>
          <w:szCs w:val="32"/>
          <w:u w:val="none"/>
        </w:rPr>
        <w:t>秉承红色基因贯穿教学管理全过程信念，全面提升学生思想政治教育的效果。</w:t>
      </w:r>
    </w:p>
    <w:p>
      <w:pPr>
        <w:keepNext w:val="0"/>
        <w:keepLines w:val="0"/>
        <w:pageBreakBefore w:val="0"/>
        <w:widowControl w:val="0"/>
        <w:kinsoku/>
        <w:wordWrap/>
        <w:overflowPunct/>
        <w:topLinePunct w:val="0"/>
        <w:autoSpaceDE/>
        <w:autoSpaceDN/>
        <w:bidi w:val="0"/>
        <w:snapToGrid w:val="0"/>
        <w:spacing w:line="500" w:lineRule="exact"/>
        <w:jc w:val="both"/>
        <w:textAlignment w:val="auto"/>
        <w:rPr>
          <w:b w:val="0"/>
          <w:bCs w:val="0"/>
          <w:sz w:val="32"/>
          <w:szCs w:val="32"/>
          <w:u w:val="none"/>
        </w:rPr>
      </w:pPr>
      <w:r>
        <w:rPr>
          <w:rFonts w:ascii="仿宋" w:hAnsi="仿宋" w:eastAsia="仿宋"/>
          <w:b w:val="0"/>
          <w:bCs w:val="0"/>
          <w:sz w:val="32"/>
          <w:szCs w:val="32"/>
          <w:u w:val="none"/>
        </w:rPr>
        <w:t xml:space="preserve">    </w:t>
      </w:r>
      <w:r>
        <w:rPr>
          <w:rFonts w:hint="eastAsia" w:ascii="仿宋" w:hAnsi="仿宋" w:eastAsia="仿宋"/>
          <w:b w:val="0"/>
          <w:bCs w:val="0"/>
          <w:sz w:val="32"/>
          <w:szCs w:val="32"/>
          <w:u w:val="none"/>
        </w:rPr>
        <w:t>3.</w:t>
      </w:r>
      <w:r>
        <w:rPr>
          <w:rFonts w:ascii="仿宋" w:hAnsi="仿宋" w:eastAsia="仿宋"/>
          <w:b w:val="0"/>
          <w:bCs w:val="0"/>
          <w:sz w:val="32"/>
          <w:szCs w:val="32"/>
          <w:u w:val="none"/>
        </w:rPr>
        <w:t>依托吉安市社区教育指导中心积极联合医院、银行、移动公司等相关单位，先后与新圩镇、解放桥社区、友谊社区建立对口支援、教育帮扶活动。开展了“送书下乡”“老年营养与保健”公益宣讲、“日常就医网上手续办理”专题培训、免费义诊、“携手进社区，助力老年防诈骗、保健康”等系列活</w:t>
      </w:r>
      <w:r>
        <w:rPr>
          <w:rFonts w:hint="eastAsia" w:ascii="仿宋" w:hAnsi="仿宋" w:eastAsia="仿宋"/>
          <w:b w:val="0"/>
          <w:bCs w:val="0"/>
          <w:sz w:val="32"/>
          <w:szCs w:val="32"/>
          <w:u w:val="none"/>
        </w:rPr>
        <w:t>动</w:t>
      </w:r>
      <w:r>
        <w:rPr>
          <w:rFonts w:ascii="仿宋" w:hAnsi="仿宋" w:eastAsia="仿宋"/>
          <w:b w:val="0"/>
          <w:bCs w:val="0"/>
          <w:sz w:val="32"/>
          <w:szCs w:val="32"/>
          <w:u w:val="none"/>
        </w:rPr>
        <w:t>。</w:t>
      </w:r>
    </w:p>
    <w:p>
      <w:pPr>
        <w:snapToGrid w:val="0"/>
        <w:spacing w:after="120"/>
        <w:rPr>
          <w:rFonts w:ascii="仿宋" w:hAnsi="仿宋" w:eastAsia="仿宋"/>
          <w:b w:val="0"/>
          <w:bCs w:val="0"/>
          <w:sz w:val="32"/>
          <w:szCs w:val="32"/>
          <w:u w:val="none"/>
        </w:rPr>
      </w:pPr>
      <w:r>
        <w:rPr>
          <w:rFonts w:ascii="仿宋" w:hAnsi="仿宋" w:eastAsia="仿宋"/>
          <w:b w:val="0"/>
          <w:bCs w:val="0"/>
          <w:sz w:val="32"/>
          <w:szCs w:val="32"/>
          <w:u w:val="none"/>
        </w:rPr>
        <w:drawing>
          <wp:inline distT="0" distB="0" distL="0" distR="0">
            <wp:extent cx="2708275" cy="1918970"/>
            <wp:effectExtent l="0" t="0" r="15875"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4"/>
                    <a:stretch>
                      <a:fillRect/>
                    </a:stretch>
                  </pic:blipFill>
                  <pic:spPr>
                    <a:xfrm>
                      <a:off x="0" y="0"/>
                      <a:ext cx="2708275" cy="1918970"/>
                    </a:xfrm>
                    <a:prstGeom prst="rect">
                      <a:avLst/>
                    </a:prstGeom>
                  </pic:spPr>
                </pic:pic>
              </a:graphicData>
            </a:graphic>
          </wp:inline>
        </w:drawing>
      </w:r>
      <w:r>
        <w:rPr>
          <w:rFonts w:ascii="仿宋" w:hAnsi="仿宋" w:eastAsia="仿宋"/>
          <w:b w:val="0"/>
          <w:bCs w:val="0"/>
          <w:sz w:val="32"/>
          <w:szCs w:val="32"/>
          <w:u w:val="none"/>
        </w:rPr>
        <w:drawing>
          <wp:inline distT="0" distB="0" distL="0" distR="0">
            <wp:extent cx="2865755" cy="1923415"/>
            <wp:effectExtent l="0" t="0" r="10795"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5"/>
                    <a:stretch>
                      <a:fillRect/>
                    </a:stretch>
                  </pic:blipFill>
                  <pic:spPr>
                    <a:xfrm>
                      <a:off x="0" y="0"/>
                      <a:ext cx="2865755" cy="19234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500" w:lineRule="exact"/>
        <w:ind w:firstLine="640" w:firstLineChars="200"/>
        <w:textAlignment w:val="auto"/>
        <w:outlineLvl w:val="1"/>
        <w:rPr>
          <w:rFonts w:ascii="楷体" w:hAnsi="楷体" w:eastAsia="楷体" w:cs="楷体"/>
          <w:b w:val="0"/>
          <w:bCs w:val="0"/>
          <w:sz w:val="32"/>
          <w:szCs w:val="32"/>
          <w:u w:val="none"/>
        </w:rPr>
      </w:pPr>
      <w:r>
        <w:rPr>
          <w:rFonts w:hint="eastAsia" w:ascii="楷体" w:hAnsi="楷体" w:eastAsia="楷体" w:cs="楷体"/>
          <w:b w:val="0"/>
          <w:bCs w:val="0"/>
          <w:sz w:val="32"/>
          <w:szCs w:val="32"/>
          <w:u w:val="none"/>
        </w:rPr>
        <w:t>（三）学校资源面向校内、社会开放服务情况</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1.</w:t>
      </w:r>
      <w:r>
        <w:rPr>
          <w:rFonts w:ascii="仿宋" w:hAnsi="仿宋" w:eastAsia="仿宋"/>
          <w:b w:val="0"/>
          <w:bCs w:val="0"/>
          <w:sz w:val="32"/>
          <w:szCs w:val="32"/>
          <w:u w:val="none"/>
        </w:rPr>
        <w:t>充分利用和整合各类教育资源，加大校内图书、实训、实验、数字化资源和其他教学设备对社会开放力度，提供公益服务工作。</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2.</w:t>
      </w:r>
      <w:r>
        <w:rPr>
          <w:rFonts w:ascii="仿宋" w:hAnsi="仿宋" w:eastAsia="仿宋"/>
          <w:b w:val="0"/>
          <w:bCs w:val="0"/>
          <w:sz w:val="32"/>
          <w:szCs w:val="32"/>
          <w:u w:val="none"/>
        </w:rPr>
        <w:t>充分利用校区中心城区的地理优势，先后有序引进了茶艺师、保育员、育婴师、青少年篮球、收纳师、健康管理师等社区教育工作室，丰富了社区居民的业余生活、促进青少健康成长、为居民就业再就业创造了机会</w:t>
      </w:r>
      <w:r>
        <w:rPr>
          <w:rFonts w:hint="eastAsia" w:ascii="仿宋" w:hAnsi="仿宋" w:eastAsia="仿宋"/>
          <w:b w:val="0"/>
          <w:bCs w:val="0"/>
          <w:sz w:val="32"/>
          <w:szCs w:val="32"/>
          <w:u w:val="none"/>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ascii="仿宋" w:hAnsi="仿宋" w:eastAsia="仿宋"/>
          <w:b w:val="0"/>
          <w:bCs w:val="0"/>
          <w:sz w:val="32"/>
          <w:szCs w:val="32"/>
          <w:u w:val="none"/>
        </w:rPr>
      </w:pPr>
      <w:r>
        <w:rPr>
          <w:rFonts w:hint="eastAsia" w:ascii="仿宋" w:hAnsi="仿宋" w:eastAsia="仿宋"/>
          <w:b w:val="0"/>
          <w:bCs w:val="0"/>
          <w:sz w:val="32"/>
          <w:szCs w:val="32"/>
          <w:u w:val="none"/>
        </w:rPr>
        <w:t>3.</w:t>
      </w:r>
      <w:r>
        <w:rPr>
          <w:rFonts w:ascii="仿宋" w:hAnsi="仿宋" w:eastAsia="仿宋"/>
          <w:b w:val="0"/>
          <w:bCs w:val="0"/>
          <w:sz w:val="32"/>
          <w:szCs w:val="32"/>
          <w:u w:val="none"/>
        </w:rPr>
        <w:t>充分利用</w:t>
      </w:r>
      <w:r>
        <w:rPr>
          <w:rFonts w:hint="eastAsia" w:ascii="仿宋" w:hAnsi="仿宋" w:eastAsia="仿宋"/>
          <w:b w:val="0"/>
          <w:bCs w:val="0"/>
          <w:sz w:val="32"/>
          <w:szCs w:val="32"/>
          <w:u w:val="none"/>
        </w:rPr>
        <w:t>学校的师资力量和场地等资源，先后给</w:t>
      </w:r>
      <w:r>
        <w:rPr>
          <w:rFonts w:ascii="仿宋" w:hAnsi="仿宋" w:eastAsia="仿宋"/>
          <w:b w:val="0"/>
          <w:bCs w:val="0"/>
          <w:sz w:val="32"/>
          <w:szCs w:val="32"/>
          <w:u w:val="none"/>
        </w:rPr>
        <w:t>新圩镇、解放桥社区、友谊社区</w:t>
      </w:r>
      <w:r>
        <w:rPr>
          <w:rFonts w:hint="eastAsia" w:ascii="仿宋" w:hAnsi="仿宋" w:eastAsia="仿宋"/>
          <w:b w:val="0"/>
          <w:bCs w:val="0"/>
          <w:sz w:val="32"/>
          <w:szCs w:val="32"/>
          <w:u w:val="none"/>
        </w:rPr>
        <w:t>老人等提供</w:t>
      </w:r>
      <w:r>
        <w:rPr>
          <w:rFonts w:ascii="仿宋" w:hAnsi="仿宋" w:eastAsia="仿宋"/>
          <w:b w:val="0"/>
          <w:bCs w:val="0"/>
          <w:sz w:val="32"/>
          <w:szCs w:val="32"/>
          <w:u w:val="none"/>
        </w:rPr>
        <w:t>“老年营养与保健”公益宣讲、“日常就医网上手续办理”专题培训、免费义诊、“携手进社区，助力老年防诈骗、保健康”等系列活动</w:t>
      </w:r>
      <w:r>
        <w:rPr>
          <w:rFonts w:hint="eastAsia" w:ascii="仿宋" w:hAnsi="仿宋" w:eastAsia="仿宋"/>
          <w:b w:val="0"/>
          <w:bCs w:val="0"/>
          <w:sz w:val="32"/>
          <w:szCs w:val="32"/>
          <w:u w:val="none"/>
        </w:rPr>
        <w:t>。</w:t>
      </w:r>
    </w:p>
    <w:p>
      <w:pPr>
        <w:keepNext w:val="0"/>
        <w:keepLines w:val="0"/>
        <w:pageBreakBefore w:val="0"/>
        <w:widowControl w:val="0"/>
        <w:kinsoku/>
        <w:wordWrap/>
        <w:overflowPunct/>
        <w:topLinePunct w:val="0"/>
        <w:autoSpaceDE/>
        <w:autoSpaceDN/>
        <w:bidi w:val="0"/>
        <w:snapToGrid w:val="0"/>
        <w:spacing w:line="500" w:lineRule="exact"/>
        <w:ind w:firstLine="640" w:firstLineChars="200"/>
        <w:textAlignment w:val="auto"/>
        <w:rPr>
          <w:rFonts w:eastAsia="仿宋"/>
          <w:b w:val="0"/>
          <w:bCs w:val="0"/>
          <w:u w:val="none"/>
        </w:rPr>
      </w:pPr>
      <w:r>
        <w:rPr>
          <w:rFonts w:hint="eastAsia" w:ascii="仿宋" w:hAnsi="仿宋" w:eastAsia="仿宋"/>
          <w:b w:val="0"/>
          <w:bCs w:val="0"/>
          <w:sz w:val="32"/>
          <w:szCs w:val="32"/>
          <w:u w:val="none"/>
        </w:rPr>
        <w:t>4.充分利用</w:t>
      </w:r>
      <w:r>
        <w:rPr>
          <w:rFonts w:ascii="仿宋" w:hAnsi="仿宋" w:eastAsia="仿宋"/>
          <w:b w:val="0"/>
          <w:bCs w:val="0"/>
          <w:sz w:val="32"/>
          <w:szCs w:val="32"/>
          <w:u w:val="none"/>
        </w:rPr>
        <w:t>国开思政教育基地、</w:t>
      </w:r>
      <w:r>
        <w:rPr>
          <w:rFonts w:hint="eastAsia" w:ascii="仿宋" w:hAnsi="仿宋" w:eastAsia="仿宋"/>
          <w:b w:val="0"/>
          <w:bCs w:val="0"/>
          <w:sz w:val="32"/>
          <w:szCs w:val="32"/>
          <w:u w:val="none"/>
        </w:rPr>
        <w:t>省开</w:t>
      </w:r>
      <w:r>
        <w:rPr>
          <w:rFonts w:ascii="仿宋" w:hAnsi="仿宋" w:eastAsia="仿宋"/>
          <w:b w:val="0"/>
          <w:bCs w:val="0"/>
          <w:sz w:val="32"/>
          <w:szCs w:val="32"/>
          <w:u w:val="none"/>
        </w:rPr>
        <w:t>思政教育基地</w:t>
      </w:r>
      <w:r>
        <w:rPr>
          <w:rFonts w:hint="eastAsia" w:ascii="仿宋" w:hAnsi="仿宋" w:eastAsia="仿宋"/>
          <w:b w:val="0"/>
          <w:bCs w:val="0"/>
          <w:sz w:val="32"/>
          <w:szCs w:val="32"/>
          <w:u w:val="none"/>
        </w:rPr>
        <w:t>等</w:t>
      </w:r>
      <w:r>
        <w:rPr>
          <w:rFonts w:ascii="仿宋" w:hAnsi="仿宋" w:eastAsia="仿宋"/>
          <w:b w:val="0"/>
          <w:bCs w:val="0"/>
          <w:sz w:val="32"/>
          <w:szCs w:val="32"/>
          <w:u w:val="none"/>
        </w:rPr>
        <w:t>平台，开展了提高技能业务培训、红色培训、国培计划等各类培训，</w:t>
      </w:r>
      <w:r>
        <w:rPr>
          <w:rFonts w:hint="eastAsia" w:ascii="仿宋" w:hAnsi="仿宋" w:eastAsia="仿宋"/>
          <w:b w:val="0"/>
          <w:bCs w:val="0"/>
          <w:sz w:val="32"/>
          <w:szCs w:val="32"/>
          <w:u w:val="none"/>
        </w:rPr>
        <w:t>近几年</w:t>
      </w:r>
      <w:r>
        <w:rPr>
          <w:rFonts w:ascii="仿宋" w:hAnsi="仿宋" w:eastAsia="仿宋"/>
          <w:b w:val="0"/>
          <w:bCs w:val="0"/>
          <w:sz w:val="32"/>
          <w:szCs w:val="32"/>
          <w:u w:val="none"/>
        </w:rPr>
        <w:t>为全国各地党政机关、高校中小学等举办培训班550余期，培训学员2.3万余名</w:t>
      </w:r>
      <w:r>
        <w:rPr>
          <w:rFonts w:hint="eastAsia" w:ascii="仿宋" w:hAnsi="仿宋" w:eastAsia="仿宋"/>
          <w:b w:val="0"/>
          <w:bCs w:val="0"/>
          <w:sz w:val="32"/>
          <w:szCs w:val="32"/>
          <w:u w:val="none"/>
        </w:rPr>
        <w:t>。</w:t>
      </w:r>
    </w:p>
    <w:p>
      <w:pPr>
        <w:snapToGrid w:val="0"/>
        <w:rPr>
          <w:rFonts w:ascii="宋体" w:hAnsi="宋体" w:cs="宋体"/>
          <w:b w:val="0"/>
          <w:bCs w:val="0"/>
          <w:sz w:val="24"/>
          <w:u w:val="none"/>
        </w:rPr>
      </w:pPr>
      <w:r>
        <w:rPr>
          <w:rFonts w:ascii="仿宋" w:hAnsi="仿宋" w:eastAsia="仿宋"/>
          <w:b w:val="0"/>
          <w:bCs w:val="0"/>
          <w:sz w:val="32"/>
          <w:szCs w:val="32"/>
          <w:u w:val="none"/>
        </w:rPr>
        <w:drawing>
          <wp:inline distT="0" distB="0" distL="0" distR="0">
            <wp:extent cx="2795270" cy="1724660"/>
            <wp:effectExtent l="0" t="0" r="508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6"/>
                    <a:stretch>
                      <a:fillRect/>
                    </a:stretch>
                  </pic:blipFill>
                  <pic:spPr>
                    <a:xfrm>
                      <a:off x="0" y="0"/>
                      <a:ext cx="2795270" cy="1724660"/>
                    </a:xfrm>
                    <a:prstGeom prst="rect">
                      <a:avLst/>
                    </a:prstGeom>
                  </pic:spPr>
                </pic:pic>
              </a:graphicData>
            </a:graphic>
          </wp:inline>
        </w:drawing>
      </w:r>
      <w:r>
        <w:rPr>
          <w:rFonts w:ascii="仿宋" w:hAnsi="仿宋" w:eastAsia="仿宋"/>
          <w:b w:val="0"/>
          <w:bCs w:val="0"/>
          <w:sz w:val="32"/>
          <w:szCs w:val="32"/>
          <w:u w:val="none"/>
        </w:rPr>
        <w:drawing>
          <wp:inline distT="0" distB="0" distL="0" distR="0">
            <wp:extent cx="2783205" cy="1749425"/>
            <wp:effectExtent l="0" t="0" r="1714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7"/>
                    <a:stretch>
                      <a:fillRect/>
                    </a:stretch>
                  </pic:blipFill>
                  <pic:spPr>
                    <a:xfrm>
                      <a:off x="0" y="0"/>
                      <a:ext cx="2783205" cy="1749425"/>
                    </a:xfrm>
                    <a:prstGeom prst="rect">
                      <a:avLst/>
                    </a:prstGeom>
                  </pic:spPr>
                </pic:pic>
              </a:graphicData>
            </a:graphic>
          </wp:inline>
        </w:drawing>
      </w:r>
      <w:r>
        <w:rPr>
          <w:b w:val="0"/>
          <w:bCs w:val="0"/>
          <w:u w:val="none"/>
        </w:rPr>
        <w:drawing>
          <wp:inline distT="0" distB="0" distL="114300" distR="114300">
            <wp:extent cx="2786380" cy="1881505"/>
            <wp:effectExtent l="0" t="0" r="13970" b="4445"/>
            <wp:docPr id="10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1"/>
                    <pic:cNvPicPr>
                      <a:picLocks noChangeAspect="1"/>
                    </pic:cNvPicPr>
                  </pic:nvPicPr>
                  <pic:blipFill>
                    <a:blip r:embed="rId28"/>
                    <a:stretch>
                      <a:fillRect/>
                    </a:stretch>
                  </pic:blipFill>
                  <pic:spPr>
                    <a:xfrm>
                      <a:off x="0" y="0"/>
                      <a:ext cx="2786380" cy="1881505"/>
                    </a:xfrm>
                    <a:prstGeom prst="rect">
                      <a:avLst/>
                    </a:prstGeom>
                    <a:noFill/>
                    <a:ln>
                      <a:noFill/>
                    </a:ln>
                  </pic:spPr>
                </pic:pic>
              </a:graphicData>
            </a:graphic>
          </wp:inline>
        </w:drawing>
      </w:r>
      <w:r>
        <w:rPr>
          <w:rFonts w:ascii="宋体" w:hAnsi="宋体" w:cs="宋体"/>
          <w:b w:val="0"/>
          <w:bCs w:val="0"/>
          <w:sz w:val="24"/>
          <w:u w:val="none"/>
        </w:rPr>
        <w:drawing>
          <wp:inline distT="0" distB="0" distL="114300" distR="114300">
            <wp:extent cx="2797175" cy="1854200"/>
            <wp:effectExtent l="0" t="0" r="3175" b="12700"/>
            <wp:docPr id="1060"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图片 7" descr="IMG_256"/>
                    <pic:cNvPicPr>
                      <a:picLocks noChangeAspect="1"/>
                    </pic:cNvPicPr>
                  </pic:nvPicPr>
                  <pic:blipFill>
                    <a:blip r:embed="rId29"/>
                    <a:stretch>
                      <a:fillRect/>
                    </a:stretch>
                  </pic:blipFill>
                  <pic:spPr>
                    <a:xfrm>
                      <a:off x="0" y="0"/>
                      <a:ext cx="2797175" cy="1854200"/>
                    </a:xfrm>
                    <a:prstGeom prst="rect">
                      <a:avLst/>
                    </a:prstGeom>
                    <a:noFill/>
                    <a:ln w="9525">
                      <a:noFill/>
                    </a:ln>
                  </pic:spPr>
                </pic:pic>
              </a:graphicData>
            </a:graphic>
          </wp:inline>
        </w:drawing>
      </w:r>
    </w:p>
    <w:p>
      <w:pPr>
        <w:numPr>
          <w:ilvl w:val="0"/>
          <w:numId w:val="3"/>
        </w:numPr>
        <w:ind w:firstLine="640" w:firstLineChars="200"/>
        <w:rPr>
          <w:rFonts w:hint="eastAsia" w:ascii="黑体" w:hAnsi="黑体" w:eastAsia="黑体" w:cs="黑体"/>
          <w:b w:val="0"/>
          <w:bCs w:val="0"/>
          <w:sz w:val="32"/>
          <w:szCs w:val="32"/>
          <w:u w:val="none"/>
        </w:rPr>
      </w:pPr>
      <w:r>
        <w:rPr>
          <w:rFonts w:hint="eastAsia" w:ascii="黑体" w:hAnsi="黑体" w:eastAsia="黑体" w:cs="黑体"/>
          <w:b w:val="0"/>
          <w:bCs w:val="0"/>
          <w:sz w:val="32"/>
          <w:szCs w:val="32"/>
          <w:u w:val="none"/>
        </w:rPr>
        <w:t>存在的问题</w:t>
      </w:r>
    </w:p>
    <w:p>
      <w:pPr>
        <w:pStyle w:val="14"/>
        <w:keepNext w:val="0"/>
        <w:keepLines w:val="0"/>
        <w:pageBreakBefore w:val="0"/>
        <w:widowControl w:val="0"/>
        <w:numPr>
          <w:ilvl w:val="0"/>
          <w:numId w:val="0"/>
        </w:numPr>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lang w:val="en-US" w:eastAsia="zh-CN"/>
        </w:rPr>
      </w:pPr>
      <w:r>
        <w:rPr>
          <w:rFonts w:hint="eastAsia" w:ascii="仿宋" w:hAnsi="仿宋" w:eastAsia="仿宋" w:cstheme="minorBidi"/>
          <w:b w:val="0"/>
          <w:bCs w:val="0"/>
          <w:color w:val="auto"/>
          <w:sz w:val="32"/>
          <w:szCs w:val="32"/>
          <w:u w:val="none"/>
          <w:lang w:val="en-US" w:eastAsia="zh-CN"/>
        </w:rPr>
        <w:t>1.要加强做好市校校本部开放大学学历教育办学工作。</w:t>
      </w:r>
    </w:p>
    <w:p>
      <w:pPr>
        <w:pStyle w:val="14"/>
        <w:keepNext w:val="0"/>
        <w:keepLines w:val="0"/>
        <w:pageBreakBefore w:val="0"/>
        <w:widowControl w:val="0"/>
        <w:numPr>
          <w:ilvl w:val="0"/>
          <w:numId w:val="0"/>
        </w:numPr>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lang w:val="en-US" w:eastAsia="zh-CN"/>
        </w:rPr>
      </w:pPr>
      <w:r>
        <w:rPr>
          <w:rFonts w:hint="eastAsia" w:ascii="仿宋" w:hAnsi="仿宋" w:eastAsia="仿宋"/>
          <w:color w:val="auto"/>
          <w:sz w:val="32"/>
          <w:szCs w:val="32"/>
          <w:u w:val="none"/>
          <w:lang w:val="en-US" w:eastAsia="zh-CN"/>
        </w:rPr>
        <w:t>2.要与所辖办学单位签订合作办学协议，明确办学职责；积极推进吉水、万安两地开放学院设置工作。</w:t>
      </w:r>
    </w:p>
    <w:p>
      <w:pPr>
        <w:pStyle w:val="14"/>
        <w:keepNext w:val="0"/>
        <w:keepLines w:val="0"/>
        <w:pageBreakBefore w:val="0"/>
        <w:widowControl w:val="0"/>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lang w:eastAsia="zh-CN"/>
        </w:rPr>
      </w:pPr>
      <w:r>
        <w:rPr>
          <w:rFonts w:hint="eastAsia" w:ascii="仿宋" w:hAnsi="仿宋" w:eastAsia="仿宋" w:cstheme="minorBidi"/>
          <w:b w:val="0"/>
          <w:bCs w:val="0"/>
          <w:color w:val="auto"/>
          <w:sz w:val="32"/>
          <w:szCs w:val="32"/>
          <w:u w:val="none"/>
          <w:lang w:val="en-US" w:eastAsia="zh-CN"/>
        </w:rPr>
        <w:t>3.要</w:t>
      </w:r>
      <w:r>
        <w:rPr>
          <w:rFonts w:hint="eastAsia" w:ascii="仿宋" w:hAnsi="仿宋" w:eastAsia="仿宋" w:cs="仿宋"/>
          <w:b w:val="0"/>
          <w:bCs w:val="0"/>
          <w:color w:val="auto"/>
          <w:sz w:val="32"/>
          <w:szCs w:val="32"/>
          <w:u w:val="none"/>
        </w:rPr>
        <w:t>进一步</w:t>
      </w:r>
      <w:r>
        <w:rPr>
          <w:rFonts w:hint="eastAsia" w:ascii="仿宋" w:hAnsi="仿宋" w:eastAsia="仿宋" w:cs="仿宋"/>
          <w:b w:val="0"/>
          <w:bCs w:val="0"/>
          <w:color w:val="auto"/>
          <w:sz w:val="32"/>
          <w:szCs w:val="32"/>
          <w:u w:val="none"/>
          <w:lang w:eastAsia="zh-CN"/>
        </w:rPr>
        <w:t>加强</w:t>
      </w:r>
      <w:r>
        <w:rPr>
          <w:rFonts w:hint="eastAsia" w:ascii="仿宋" w:hAnsi="仿宋" w:eastAsia="仿宋" w:cs="仿宋"/>
          <w:b w:val="0"/>
          <w:bCs w:val="0"/>
          <w:color w:val="auto"/>
          <w:sz w:val="32"/>
          <w:szCs w:val="32"/>
          <w:u w:val="none"/>
        </w:rPr>
        <w:t>专业教师队伍建设，</w:t>
      </w:r>
      <w:r>
        <w:rPr>
          <w:rFonts w:hint="eastAsia" w:ascii="仿宋" w:hAnsi="仿宋" w:eastAsia="仿宋" w:cs="仿宋"/>
          <w:b w:val="0"/>
          <w:bCs w:val="0"/>
          <w:color w:val="auto"/>
          <w:sz w:val="32"/>
          <w:szCs w:val="32"/>
          <w:u w:val="none"/>
          <w:lang w:eastAsia="zh-CN"/>
        </w:rPr>
        <w:t>提升教学能力</w:t>
      </w:r>
      <w:r>
        <w:rPr>
          <w:rFonts w:hint="eastAsia" w:ascii="仿宋" w:hAnsi="仿宋" w:eastAsia="仿宋" w:cstheme="minorBidi"/>
          <w:b w:val="0"/>
          <w:bCs w:val="0"/>
          <w:color w:val="auto"/>
          <w:sz w:val="32"/>
          <w:szCs w:val="32"/>
          <w:u w:val="none"/>
          <w:lang w:eastAsia="zh-CN"/>
        </w:rPr>
        <w:t>。</w:t>
      </w:r>
    </w:p>
    <w:p>
      <w:pPr>
        <w:pStyle w:val="14"/>
        <w:keepNext w:val="0"/>
        <w:keepLines w:val="0"/>
        <w:pageBreakBefore w:val="0"/>
        <w:widowControl w:val="0"/>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rPr>
      </w:pPr>
      <w:r>
        <w:rPr>
          <w:rFonts w:hint="eastAsia" w:ascii="仿宋" w:hAnsi="仿宋" w:eastAsia="仿宋" w:cstheme="minorBidi"/>
          <w:b w:val="0"/>
          <w:bCs w:val="0"/>
          <w:color w:val="auto"/>
          <w:sz w:val="32"/>
          <w:szCs w:val="32"/>
          <w:u w:val="none"/>
          <w:lang w:val="en-US" w:eastAsia="zh-CN"/>
        </w:rPr>
        <w:t>4.</w:t>
      </w:r>
      <w:r>
        <w:rPr>
          <w:rFonts w:hint="eastAsia" w:ascii="仿宋" w:hAnsi="仿宋" w:eastAsia="仿宋" w:cstheme="minorBidi"/>
          <w:b w:val="0"/>
          <w:bCs w:val="0"/>
          <w:color w:val="auto"/>
          <w:sz w:val="32"/>
          <w:szCs w:val="32"/>
          <w:u w:val="none"/>
        </w:rPr>
        <w:t>对教学过程、学习过程的指导、管理和监控力度还需加强。2021年网检数据显示，“学生人均在线行为次数”排名靠后，“教师有效行为比例”较低。</w:t>
      </w:r>
    </w:p>
    <w:p>
      <w:pPr>
        <w:pStyle w:val="14"/>
        <w:keepNext w:val="0"/>
        <w:keepLines w:val="0"/>
        <w:pageBreakBefore w:val="0"/>
        <w:widowControl w:val="0"/>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仿宋"/>
          <w:color w:val="auto"/>
          <w:spacing w:val="-6"/>
          <w:kern w:val="0"/>
          <w:sz w:val="32"/>
          <w:szCs w:val="32"/>
          <w:u w:val="none"/>
          <w:lang w:val="en-US" w:eastAsia="zh-CN"/>
        </w:rPr>
      </w:pPr>
      <w:r>
        <w:rPr>
          <w:rFonts w:hint="eastAsia" w:ascii="仿宋" w:hAnsi="仿宋" w:eastAsia="仿宋" w:cstheme="minorBidi"/>
          <w:b w:val="0"/>
          <w:bCs w:val="0"/>
          <w:color w:val="auto"/>
          <w:sz w:val="32"/>
          <w:szCs w:val="32"/>
          <w:u w:val="none"/>
          <w:lang w:val="en-US" w:eastAsia="zh-CN"/>
        </w:rPr>
        <w:t>5.</w:t>
      </w:r>
      <w:r>
        <w:rPr>
          <w:rFonts w:hint="eastAsia" w:ascii="仿宋" w:hAnsi="仿宋" w:eastAsia="仿宋" w:cs="仿宋"/>
          <w:color w:val="auto"/>
          <w:spacing w:val="-6"/>
          <w:kern w:val="0"/>
          <w:sz w:val="32"/>
          <w:szCs w:val="32"/>
          <w:u w:val="none"/>
          <w:lang w:val="en-US" w:eastAsia="zh-CN"/>
        </w:rPr>
        <w:t>要加大国家开放大学学位申请的宣传力度，做好学位外语培训和相关组织工作。2021年度无学生申请学位。</w:t>
      </w:r>
    </w:p>
    <w:p>
      <w:pPr>
        <w:pStyle w:val="14"/>
        <w:keepNext w:val="0"/>
        <w:keepLines w:val="0"/>
        <w:pageBreakBefore w:val="0"/>
        <w:widowControl w:val="0"/>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lang w:val="en-US" w:eastAsia="zh-CN"/>
        </w:rPr>
      </w:pPr>
      <w:r>
        <w:rPr>
          <w:rFonts w:hint="eastAsia" w:ascii="仿宋" w:hAnsi="仿宋" w:eastAsia="仿宋" w:cstheme="minorBidi"/>
          <w:b w:val="0"/>
          <w:bCs w:val="0"/>
          <w:color w:val="auto"/>
          <w:sz w:val="32"/>
          <w:szCs w:val="32"/>
          <w:u w:val="none"/>
          <w:lang w:val="en-US" w:eastAsia="zh-CN"/>
        </w:rPr>
        <w:t>6.要成立学生工作队伍，积极开展校友工作，做好毕业生评价工作。</w:t>
      </w:r>
    </w:p>
    <w:p>
      <w:pPr>
        <w:pStyle w:val="14"/>
        <w:keepNext w:val="0"/>
        <w:keepLines w:val="0"/>
        <w:pageBreakBefore w:val="0"/>
        <w:widowControl w:val="0"/>
        <w:kinsoku/>
        <w:wordWrap/>
        <w:overflowPunct/>
        <w:topLinePunct w:val="0"/>
        <w:autoSpaceDE/>
        <w:autoSpaceDN/>
        <w:bidi w:val="0"/>
        <w:adjustRightInd/>
        <w:snapToGrid/>
        <w:spacing w:after="0" w:line="500" w:lineRule="exact"/>
        <w:ind w:firstLine="640" w:firstLineChars="200"/>
        <w:jc w:val="both"/>
        <w:textAlignment w:val="auto"/>
        <w:rPr>
          <w:rFonts w:hint="eastAsia" w:ascii="仿宋" w:hAnsi="仿宋" w:eastAsia="仿宋" w:cstheme="minorBidi"/>
          <w:b w:val="0"/>
          <w:bCs w:val="0"/>
          <w:color w:val="auto"/>
          <w:sz w:val="32"/>
          <w:szCs w:val="32"/>
          <w:u w:val="none"/>
          <w:lang w:val="en-US" w:eastAsia="zh-CN"/>
        </w:rPr>
      </w:pPr>
      <w:r>
        <w:rPr>
          <w:rFonts w:hint="eastAsia" w:ascii="仿宋" w:hAnsi="仿宋" w:eastAsia="仿宋" w:cstheme="minorBidi"/>
          <w:b w:val="0"/>
          <w:bCs w:val="0"/>
          <w:color w:val="auto"/>
          <w:sz w:val="32"/>
          <w:szCs w:val="32"/>
          <w:u w:val="none"/>
          <w:lang w:val="en-US" w:eastAsia="zh-CN"/>
        </w:rPr>
        <w:t>7.教材配置率低，2021年秋季教材配置率仅30.15%；建设资源并向社会推广的能力有待加强。</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640" w:firstLineChars="200"/>
        <w:jc w:val="left"/>
        <w:textAlignment w:val="auto"/>
        <w:rPr>
          <w:rFonts w:hint="eastAsia" w:ascii="仿宋" w:hAnsi="仿宋" w:eastAsia="仿宋" w:cstheme="minorBidi"/>
          <w:b w:val="0"/>
          <w:bCs w:val="0"/>
          <w:color w:val="auto"/>
          <w:sz w:val="32"/>
          <w:szCs w:val="32"/>
          <w:u w:val="none"/>
          <w:lang w:val="en-US" w:eastAsia="zh-CN"/>
        </w:rPr>
      </w:pPr>
      <w:r>
        <w:rPr>
          <w:rFonts w:hint="eastAsia" w:ascii="仿宋" w:hAnsi="仿宋" w:eastAsia="仿宋" w:cstheme="minorBidi"/>
          <w:b w:val="0"/>
          <w:bCs w:val="0"/>
          <w:color w:val="auto"/>
          <w:sz w:val="32"/>
          <w:szCs w:val="32"/>
          <w:u w:val="none"/>
          <w:lang w:val="en-US" w:eastAsia="zh-CN"/>
        </w:rPr>
        <w:t>8.要积极参加上级开放大学组织的各级教改课题。</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640" w:firstLineChars="200"/>
        <w:jc w:val="left"/>
        <w:textAlignment w:val="auto"/>
        <w:rPr>
          <w:rFonts w:hint="eastAsia" w:ascii="仿宋" w:hAnsi="仿宋" w:eastAsia="仿宋" w:cs="Calibri"/>
          <w:color w:val="auto"/>
          <w:kern w:val="2"/>
          <w:sz w:val="32"/>
          <w:szCs w:val="32"/>
          <w:u w:val="none"/>
          <w:lang w:val="en-US" w:eastAsia="zh-CN" w:bidi="ar-SA"/>
        </w:rPr>
      </w:pPr>
      <w:r>
        <w:rPr>
          <w:rFonts w:hint="eastAsia" w:ascii="仿宋" w:hAnsi="仿宋" w:eastAsia="仿宋" w:cs="Calibri"/>
          <w:color w:val="auto"/>
          <w:kern w:val="2"/>
          <w:sz w:val="32"/>
          <w:szCs w:val="32"/>
          <w:u w:val="none"/>
          <w:lang w:val="en-US" w:eastAsia="zh-CN" w:bidi="ar-SA"/>
        </w:rPr>
        <w:t>9.要加强校外实践基地建设，加强与企业、职业院校合作办学，更好地服务地方经济社会发展。</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640" w:firstLineChars="200"/>
        <w:jc w:val="left"/>
        <w:textAlignment w:val="auto"/>
        <w:rPr>
          <w:rFonts w:hint="eastAsia" w:ascii="仿宋" w:hAnsi="仿宋" w:eastAsia="仿宋" w:cs="Calibri"/>
          <w:color w:val="auto"/>
          <w:kern w:val="2"/>
          <w:sz w:val="32"/>
          <w:szCs w:val="32"/>
          <w:u w:val="none"/>
          <w:lang w:val="en-US" w:eastAsia="zh-CN" w:bidi="ar-SA"/>
        </w:rPr>
      </w:pPr>
      <w:r>
        <w:rPr>
          <w:rFonts w:hint="eastAsia" w:ascii="仿宋" w:hAnsi="仿宋" w:eastAsia="仿宋" w:cs="Calibri"/>
          <w:color w:val="auto"/>
          <w:kern w:val="2"/>
          <w:sz w:val="32"/>
          <w:szCs w:val="32"/>
          <w:u w:val="none"/>
          <w:lang w:val="en-US" w:eastAsia="zh-CN" w:bidi="ar-SA"/>
        </w:rPr>
        <w:t>10.要建立健全社区教育体系，积极推动老年开放大学建设。</w:t>
      </w:r>
    </w:p>
    <w:p>
      <w:pPr>
        <w:pStyle w:val="14"/>
        <w:jc w:val="both"/>
        <w:rPr>
          <w:b w:val="0"/>
          <w:bCs w:val="0"/>
          <w:u w:val="none"/>
        </w:rPr>
      </w:pPr>
      <w:bookmarkStart w:id="1" w:name="_GoBack"/>
      <w:bookmarkEnd w:id="1"/>
    </w:p>
    <w:sectPr>
      <w:footerReference r:id="rId3" w:type="default"/>
      <w:pgSz w:w="11906" w:h="16838"/>
      <w:pgMar w:top="2098" w:right="1474" w:bottom="1984" w:left="1587"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7F83B13-3B93-477A-95B0-8E8968095BA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8973273-3E5B-4090-9BDF-08E62300824F}"/>
  </w:font>
  <w:font w:name="Calibri Light">
    <w:panose1 w:val="020F03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embedRegular r:id="rId3" w:fontKey="{993E959B-33FF-4657-8833-9F0C5929F523}"/>
  </w:font>
  <w:font w:name="方正小标宋简体">
    <w:altName w:val="Arial Unicode MS"/>
    <w:panose1 w:val="02010601030101010101"/>
    <w:charset w:val="86"/>
    <w:family w:val="script"/>
    <w:pitch w:val="default"/>
    <w:sig w:usb0="00000000" w:usb1="00000000" w:usb2="00000000" w:usb3="00000000" w:csb0="00040000" w:csb1="00000000"/>
    <w:embedRegular r:id="rId4" w:fontKey="{A780A616-4D6C-4B3B-917E-BF74E1C21D00}"/>
  </w:font>
  <w:font w:name="Arial Unicode MS">
    <w:panose1 w:val="020B0604020202020204"/>
    <w:charset w:val="86"/>
    <w:family w:val="auto"/>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embedRegular r:id="rId5" w:fontKey="{7B30AAE8-A9D5-453F-A80E-657929ACECD1}"/>
  </w:font>
  <w:font w:name="微软雅黑">
    <w:panose1 w:val="020B0503020204020204"/>
    <w:charset w:val="86"/>
    <w:family w:val="swiss"/>
    <w:pitch w:val="default"/>
    <w:sig w:usb0="80000287" w:usb1="2ACF3C50" w:usb2="00000016" w:usb3="00000000" w:csb0="0004001F" w:csb1="00000000"/>
    <w:embedRegular r:id="rId6" w:fontKey="{1E98684F-2E11-43D7-9CC8-45C231B5E0B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sz w:val="28"/>
                              <w:szCs w:val="44"/>
                            </w:rPr>
                          </w:pPr>
                          <w:r>
                            <w:rPr>
                              <w:rFonts w:hint="eastAsia"/>
                              <w:sz w:val="28"/>
                              <w:szCs w:val="44"/>
                            </w:rPr>
                            <w:fldChar w:fldCharType="begin"/>
                          </w:r>
                          <w:r>
                            <w:rPr>
                              <w:rFonts w:hint="eastAsia"/>
                              <w:sz w:val="28"/>
                              <w:szCs w:val="44"/>
                            </w:rPr>
                            <w:instrText xml:space="preserve"> PAGE  \* MERGEFORMAT </w:instrText>
                          </w:r>
                          <w:r>
                            <w:rPr>
                              <w:rFonts w:hint="eastAsia"/>
                              <w:sz w:val="28"/>
                              <w:szCs w:val="44"/>
                            </w:rPr>
                            <w:fldChar w:fldCharType="separate"/>
                          </w:r>
                          <w:r>
                            <w:rPr>
                              <w:sz w:val="28"/>
                              <w:szCs w:val="44"/>
                            </w:rPr>
                            <w:t>- 8 -</w:t>
                          </w:r>
                          <w:r>
                            <w:rPr>
                              <w:rFonts w:hint="eastAsia"/>
                              <w:sz w:val="28"/>
                              <w:szCs w:val="4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pPr>
                      <w:pStyle w:val="8"/>
                      <w:rPr>
                        <w:sz w:val="28"/>
                        <w:szCs w:val="44"/>
                      </w:rPr>
                    </w:pPr>
                    <w:r>
                      <w:rPr>
                        <w:rFonts w:hint="eastAsia"/>
                        <w:sz w:val="28"/>
                        <w:szCs w:val="44"/>
                      </w:rPr>
                      <w:fldChar w:fldCharType="begin"/>
                    </w:r>
                    <w:r>
                      <w:rPr>
                        <w:rFonts w:hint="eastAsia"/>
                        <w:sz w:val="28"/>
                        <w:szCs w:val="44"/>
                      </w:rPr>
                      <w:instrText xml:space="preserve"> PAGE  \* MERGEFORMAT </w:instrText>
                    </w:r>
                    <w:r>
                      <w:rPr>
                        <w:rFonts w:hint="eastAsia"/>
                        <w:sz w:val="28"/>
                        <w:szCs w:val="44"/>
                      </w:rPr>
                      <w:fldChar w:fldCharType="separate"/>
                    </w:r>
                    <w:r>
                      <w:rPr>
                        <w:sz w:val="28"/>
                        <w:szCs w:val="44"/>
                      </w:rPr>
                      <w:t>- 8 -</w:t>
                    </w:r>
                    <w:r>
                      <w:rPr>
                        <w:rFonts w:hint="eastAsia"/>
                        <w:sz w:val="28"/>
                        <w:szCs w:val="44"/>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EDE5FC7"/>
    <w:multiLevelType w:val="singleLevel"/>
    <w:tmpl w:val="DEDE5FC7"/>
    <w:lvl w:ilvl="0" w:tentative="0">
      <w:start w:val="3"/>
      <w:numFmt w:val="chineseCounting"/>
      <w:suff w:val="nothing"/>
      <w:lvlText w:val="%1、"/>
      <w:lvlJc w:val="left"/>
      <w:rPr>
        <w:rFonts w:hint="eastAsia"/>
      </w:rPr>
    </w:lvl>
  </w:abstractNum>
  <w:abstractNum w:abstractNumId="1">
    <w:nsid w:val="EF449674"/>
    <w:multiLevelType w:val="singleLevel"/>
    <w:tmpl w:val="EF449674"/>
    <w:lvl w:ilvl="0" w:tentative="0">
      <w:start w:val="6"/>
      <w:numFmt w:val="chineseCounting"/>
      <w:suff w:val="nothing"/>
      <w:lvlText w:val="%1、"/>
      <w:lvlJc w:val="left"/>
      <w:rPr>
        <w:rFonts w:hint="eastAsia"/>
      </w:rPr>
    </w:lvl>
  </w:abstractNum>
  <w:abstractNum w:abstractNumId="2">
    <w:nsid w:val="66BF78B8"/>
    <w:multiLevelType w:val="singleLevel"/>
    <w:tmpl w:val="66BF78B8"/>
    <w:lvl w:ilvl="0" w:tentative="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8"/>
  <w:doNotDisplayPageBoundaries w:val="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RiNmY0NzcwZmVjMTcwMmU4MDY3ZmRiZDYwZDdhZTMifQ=="/>
  </w:docVars>
  <w:rsids>
    <w:rsidRoot w:val="269B63B7"/>
    <w:rsid w:val="000322C4"/>
    <w:rsid w:val="00092FE9"/>
    <w:rsid w:val="0010320D"/>
    <w:rsid w:val="0018314B"/>
    <w:rsid w:val="001A6A6B"/>
    <w:rsid w:val="0028699D"/>
    <w:rsid w:val="002C056F"/>
    <w:rsid w:val="00302058"/>
    <w:rsid w:val="00314DEF"/>
    <w:rsid w:val="00364D87"/>
    <w:rsid w:val="003C68CE"/>
    <w:rsid w:val="00410E11"/>
    <w:rsid w:val="00421C0F"/>
    <w:rsid w:val="00447AAB"/>
    <w:rsid w:val="004E7706"/>
    <w:rsid w:val="005322BB"/>
    <w:rsid w:val="00541A09"/>
    <w:rsid w:val="00582294"/>
    <w:rsid w:val="0065690E"/>
    <w:rsid w:val="006E34E3"/>
    <w:rsid w:val="00796D5B"/>
    <w:rsid w:val="007D3A54"/>
    <w:rsid w:val="00815ED9"/>
    <w:rsid w:val="00862598"/>
    <w:rsid w:val="0087379D"/>
    <w:rsid w:val="00876C9F"/>
    <w:rsid w:val="008E58BE"/>
    <w:rsid w:val="00977C60"/>
    <w:rsid w:val="009834B9"/>
    <w:rsid w:val="00A04D6A"/>
    <w:rsid w:val="00A1467F"/>
    <w:rsid w:val="00A54920"/>
    <w:rsid w:val="00AB6394"/>
    <w:rsid w:val="00BD5D87"/>
    <w:rsid w:val="00C16CDF"/>
    <w:rsid w:val="00D16F71"/>
    <w:rsid w:val="00D93199"/>
    <w:rsid w:val="00D968CF"/>
    <w:rsid w:val="00DD1AB4"/>
    <w:rsid w:val="00DD6A75"/>
    <w:rsid w:val="00E64EE5"/>
    <w:rsid w:val="00E90A24"/>
    <w:rsid w:val="00E913CD"/>
    <w:rsid w:val="00EC04E1"/>
    <w:rsid w:val="00EC6498"/>
    <w:rsid w:val="00EF0E6C"/>
    <w:rsid w:val="00F1338C"/>
    <w:rsid w:val="00F93CDF"/>
    <w:rsid w:val="00FC5212"/>
    <w:rsid w:val="017A5691"/>
    <w:rsid w:val="01C36F10"/>
    <w:rsid w:val="046B351D"/>
    <w:rsid w:val="04D85C0B"/>
    <w:rsid w:val="057A22D4"/>
    <w:rsid w:val="06B86A37"/>
    <w:rsid w:val="07EA3F67"/>
    <w:rsid w:val="07FE7CB0"/>
    <w:rsid w:val="09C9573A"/>
    <w:rsid w:val="09D2457A"/>
    <w:rsid w:val="0AD17DF5"/>
    <w:rsid w:val="0B047323"/>
    <w:rsid w:val="0B6270BD"/>
    <w:rsid w:val="0B995A3F"/>
    <w:rsid w:val="0BF631D6"/>
    <w:rsid w:val="0CDA685A"/>
    <w:rsid w:val="0D00769B"/>
    <w:rsid w:val="0D242C18"/>
    <w:rsid w:val="0D404F9E"/>
    <w:rsid w:val="0E0125A2"/>
    <w:rsid w:val="0EFD5D8B"/>
    <w:rsid w:val="0FCF4987"/>
    <w:rsid w:val="0FE76B59"/>
    <w:rsid w:val="10484987"/>
    <w:rsid w:val="109E2E06"/>
    <w:rsid w:val="11634839"/>
    <w:rsid w:val="1198779A"/>
    <w:rsid w:val="126226B8"/>
    <w:rsid w:val="12A04F4F"/>
    <w:rsid w:val="12B6721C"/>
    <w:rsid w:val="1453349F"/>
    <w:rsid w:val="15027E02"/>
    <w:rsid w:val="15093232"/>
    <w:rsid w:val="158352D9"/>
    <w:rsid w:val="15F01D49"/>
    <w:rsid w:val="1653675A"/>
    <w:rsid w:val="1674045E"/>
    <w:rsid w:val="16B5071D"/>
    <w:rsid w:val="176C3CB9"/>
    <w:rsid w:val="17B67D9A"/>
    <w:rsid w:val="186057C6"/>
    <w:rsid w:val="18915DB3"/>
    <w:rsid w:val="189B6FE1"/>
    <w:rsid w:val="191B31B2"/>
    <w:rsid w:val="1A5D593C"/>
    <w:rsid w:val="1C352271"/>
    <w:rsid w:val="1C456666"/>
    <w:rsid w:val="1C6116FF"/>
    <w:rsid w:val="1D4E7AB2"/>
    <w:rsid w:val="1F2D26FE"/>
    <w:rsid w:val="1F3321D5"/>
    <w:rsid w:val="1F3A45D2"/>
    <w:rsid w:val="1F441220"/>
    <w:rsid w:val="1F7C4743"/>
    <w:rsid w:val="1F9E1736"/>
    <w:rsid w:val="209C56E1"/>
    <w:rsid w:val="20D504B9"/>
    <w:rsid w:val="20F61137"/>
    <w:rsid w:val="213E158B"/>
    <w:rsid w:val="214E54F6"/>
    <w:rsid w:val="21E36C06"/>
    <w:rsid w:val="22386FDF"/>
    <w:rsid w:val="226B20A3"/>
    <w:rsid w:val="22891207"/>
    <w:rsid w:val="23C23152"/>
    <w:rsid w:val="244658E3"/>
    <w:rsid w:val="265D3205"/>
    <w:rsid w:val="2662721E"/>
    <w:rsid w:val="269B63B7"/>
    <w:rsid w:val="27147861"/>
    <w:rsid w:val="27572FC3"/>
    <w:rsid w:val="2783373F"/>
    <w:rsid w:val="285A5ABB"/>
    <w:rsid w:val="29383E2B"/>
    <w:rsid w:val="296F1592"/>
    <w:rsid w:val="29A21F57"/>
    <w:rsid w:val="29DB0122"/>
    <w:rsid w:val="2A494B89"/>
    <w:rsid w:val="2AD85825"/>
    <w:rsid w:val="2BFD474A"/>
    <w:rsid w:val="2C95439D"/>
    <w:rsid w:val="2CA65F4D"/>
    <w:rsid w:val="2D8C6778"/>
    <w:rsid w:val="2E127895"/>
    <w:rsid w:val="2F0D7958"/>
    <w:rsid w:val="30AE3473"/>
    <w:rsid w:val="320F75A3"/>
    <w:rsid w:val="321E7E15"/>
    <w:rsid w:val="32764EE2"/>
    <w:rsid w:val="32AD2B4A"/>
    <w:rsid w:val="34586192"/>
    <w:rsid w:val="35826680"/>
    <w:rsid w:val="36171DC5"/>
    <w:rsid w:val="36281622"/>
    <w:rsid w:val="366A46BB"/>
    <w:rsid w:val="36A239F3"/>
    <w:rsid w:val="36F90814"/>
    <w:rsid w:val="3744654A"/>
    <w:rsid w:val="37F25A1B"/>
    <w:rsid w:val="38855FB1"/>
    <w:rsid w:val="38FB1235"/>
    <w:rsid w:val="3A8521B0"/>
    <w:rsid w:val="3B2E325E"/>
    <w:rsid w:val="3B41258F"/>
    <w:rsid w:val="3C0C239B"/>
    <w:rsid w:val="3E8567C1"/>
    <w:rsid w:val="3FC338B1"/>
    <w:rsid w:val="3FFB1B20"/>
    <w:rsid w:val="40713249"/>
    <w:rsid w:val="407A02DD"/>
    <w:rsid w:val="41531B59"/>
    <w:rsid w:val="425828A0"/>
    <w:rsid w:val="42BE4603"/>
    <w:rsid w:val="42E323C1"/>
    <w:rsid w:val="4404683C"/>
    <w:rsid w:val="44CF742B"/>
    <w:rsid w:val="44DB6FB9"/>
    <w:rsid w:val="458A28CE"/>
    <w:rsid w:val="45B1194F"/>
    <w:rsid w:val="45C13D35"/>
    <w:rsid w:val="45DF5A7F"/>
    <w:rsid w:val="46900FBA"/>
    <w:rsid w:val="4694340A"/>
    <w:rsid w:val="47046CAB"/>
    <w:rsid w:val="471D28B0"/>
    <w:rsid w:val="47267C30"/>
    <w:rsid w:val="472F66E6"/>
    <w:rsid w:val="484B7E50"/>
    <w:rsid w:val="487E1E0D"/>
    <w:rsid w:val="4A816C07"/>
    <w:rsid w:val="4B4C75E8"/>
    <w:rsid w:val="4B873A20"/>
    <w:rsid w:val="4BAA1B0F"/>
    <w:rsid w:val="4C84350D"/>
    <w:rsid w:val="4CAA7786"/>
    <w:rsid w:val="4CDA19A5"/>
    <w:rsid w:val="4D693BB4"/>
    <w:rsid w:val="4DD27417"/>
    <w:rsid w:val="510202D5"/>
    <w:rsid w:val="51034E74"/>
    <w:rsid w:val="51247744"/>
    <w:rsid w:val="51BC6513"/>
    <w:rsid w:val="52BC4C59"/>
    <w:rsid w:val="52C40D02"/>
    <w:rsid w:val="52E562C0"/>
    <w:rsid w:val="535E75BC"/>
    <w:rsid w:val="536B2C7B"/>
    <w:rsid w:val="53EC2772"/>
    <w:rsid w:val="540F700A"/>
    <w:rsid w:val="541976DF"/>
    <w:rsid w:val="541F44CB"/>
    <w:rsid w:val="54233A90"/>
    <w:rsid w:val="54345897"/>
    <w:rsid w:val="545629B1"/>
    <w:rsid w:val="545667DE"/>
    <w:rsid w:val="556F4A35"/>
    <w:rsid w:val="562D3C65"/>
    <w:rsid w:val="56B66933"/>
    <w:rsid w:val="571234C8"/>
    <w:rsid w:val="575D034E"/>
    <w:rsid w:val="57BA706A"/>
    <w:rsid w:val="57FD5485"/>
    <w:rsid w:val="58166C30"/>
    <w:rsid w:val="5829374F"/>
    <w:rsid w:val="583B3D34"/>
    <w:rsid w:val="585E0565"/>
    <w:rsid w:val="588D58A4"/>
    <w:rsid w:val="591506A7"/>
    <w:rsid w:val="591D1247"/>
    <w:rsid w:val="59740DB6"/>
    <w:rsid w:val="5A395B8D"/>
    <w:rsid w:val="5AA705A5"/>
    <w:rsid w:val="5D1F4659"/>
    <w:rsid w:val="5D597129"/>
    <w:rsid w:val="5DF503DE"/>
    <w:rsid w:val="5E003114"/>
    <w:rsid w:val="5E9B51F7"/>
    <w:rsid w:val="5F116B2C"/>
    <w:rsid w:val="5F147A44"/>
    <w:rsid w:val="5F652B34"/>
    <w:rsid w:val="60297775"/>
    <w:rsid w:val="6052655D"/>
    <w:rsid w:val="625009B5"/>
    <w:rsid w:val="62EC1C65"/>
    <w:rsid w:val="639B315F"/>
    <w:rsid w:val="63A918CE"/>
    <w:rsid w:val="63B137D6"/>
    <w:rsid w:val="63E64EB7"/>
    <w:rsid w:val="64955B64"/>
    <w:rsid w:val="64B313C0"/>
    <w:rsid w:val="65ED7DD4"/>
    <w:rsid w:val="662472B7"/>
    <w:rsid w:val="664B162C"/>
    <w:rsid w:val="668A7DFF"/>
    <w:rsid w:val="67D32FC7"/>
    <w:rsid w:val="68877872"/>
    <w:rsid w:val="68B946CD"/>
    <w:rsid w:val="68C60612"/>
    <w:rsid w:val="68F35727"/>
    <w:rsid w:val="6C0E7DEC"/>
    <w:rsid w:val="6D8F2D6B"/>
    <w:rsid w:val="6E4749D3"/>
    <w:rsid w:val="6E4A0F7D"/>
    <w:rsid w:val="6E9E269F"/>
    <w:rsid w:val="6EBC2584"/>
    <w:rsid w:val="6EDF7B3A"/>
    <w:rsid w:val="6EF950F3"/>
    <w:rsid w:val="7046768A"/>
    <w:rsid w:val="704F6BB9"/>
    <w:rsid w:val="71326E06"/>
    <w:rsid w:val="716048AB"/>
    <w:rsid w:val="71A06578"/>
    <w:rsid w:val="71B16ED9"/>
    <w:rsid w:val="72143779"/>
    <w:rsid w:val="72217B11"/>
    <w:rsid w:val="72513DDF"/>
    <w:rsid w:val="733E248A"/>
    <w:rsid w:val="734F6177"/>
    <w:rsid w:val="73CE6C44"/>
    <w:rsid w:val="745B29F8"/>
    <w:rsid w:val="74F33160"/>
    <w:rsid w:val="75023A96"/>
    <w:rsid w:val="75AE25D1"/>
    <w:rsid w:val="760D0FE6"/>
    <w:rsid w:val="76B245E2"/>
    <w:rsid w:val="775B2810"/>
    <w:rsid w:val="775E6625"/>
    <w:rsid w:val="783643DE"/>
    <w:rsid w:val="78372035"/>
    <w:rsid w:val="7862209E"/>
    <w:rsid w:val="78EB5BE1"/>
    <w:rsid w:val="7A473A1F"/>
    <w:rsid w:val="7AB37F9B"/>
    <w:rsid w:val="7B746707"/>
    <w:rsid w:val="7B852703"/>
    <w:rsid w:val="7B9B46ED"/>
    <w:rsid w:val="7BAF216C"/>
    <w:rsid w:val="7D69745B"/>
    <w:rsid w:val="7E0C37EF"/>
    <w:rsid w:val="7F826322"/>
    <w:rsid w:val="7F9133DC"/>
    <w:rsid w:val="7FC050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5">
    <w:name w:val="heading 2"/>
    <w:basedOn w:val="1"/>
    <w:next w:val="1"/>
    <w:unhideWhenUsed/>
    <w:qFormat/>
    <w:uiPriority w:val="9"/>
    <w:pPr>
      <w:keepNext/>
      <w:keepLines/>
      <w:spacing w:line="408" w:lineRule="auto"/>
      <w:jc w:val="left"/>
      <w:outlineLvl w:val="1"/>
    </w:pPr>
    <w:rPr>
      <w:rFonts w:asciiTheme="majorHAnsi" w:hAnsiTheme="majorHAnsi" w:eastAsiaTheme="majorEastAsia" w:cstheme="majorBidi"/>
      <w:b/>
      <w:bCs/>
      <w:color w:val="1A1A1A"/>
      <w:sz w:val="32"/>
      <w:szCs w:val="32"/>
    </w:rPr>
  </w:style>
  <w:style w:type="paragraph" w:styleId="6">
    <w:name w:val="heading 5"/>
    <w:basedOn w:val="1"/>
    <w:next w:val="1"/>
    <w:unhideWhenUsed/>
    <w:qFormat/>
    <w:uiPriority w:val="9"/>
    <w:pPr>
      <w:keepNext/>
      <w:keepLines/>
      <w:spacing w:before="280" w:after="290"/>
      <w:outlineLvl w:val="4"/>
    </w:pPr>
    <w:rPr>
      <w:rFonts w:eastAsia="楷体_GB2312"/>
      <w:b/>
      <w:bCs/>
      <w:szCs w:val="2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99"/>
    <w:pPr>
      <w:spacing w:after="120"/>
    </w:pPr>
  </w:style>
  <w:style w:type="paragraph" w:styleId="3">
    <w:name w:val="Body Text First Indent"/>
    <w:basedOn w:val="2"/>
    <w:next w:val="4"/>
    <w:qFormat/>
    <w:uiPriority w:val="0"/>
    <w:pPr>
      <w:ind w:firstLine="420" w:firstLineChars="100"/>
    </w:pPr>
  </w:style>
  <w:style w:type="paragraph" w:styleId="4">
    <w:name w:val="Title"/>
    <w:basedOn w:val="1"/>
    <w:next w:val="1"/>
    <w:qFormat/>
    <w:uiPriority w:val="10"/>
    <w:pPr>
      <w:spacing w:line="480" w:lineRule="auto"/>
      <w:jc w:val="center"/>
      <w:outlineLvl w:val="0"/>
    </w:pPr>
    <w:rPr>
      <w:rFonts w:asciiTheme="majorHAnsi" w:hAnsiTheme="majorHAnsi" w:eastAsiaTheme="majorEastAsia" w:cstheme="majorBidi"/>
      <w:b/>
      <w:bCs/>
      <w:sz w:val="48"/>
      <w:szCs w:val="32"/>
    </w:rPr>
  </w:style>
  <w:style w:type="paragraph" w:styleId="7">
    <w:name w:val="annotation text"/>
    <w:basedOn w:val="1"/>
    <w:unhideWhenUsed/>
    <w:qFormat/>
    <w:uiPriority w:val="99"/>
    <w:pPr>
      <w:jc w:val="left"/>
    </w:pPr>
    <w:rPr>
      <w:rFonts w:ascii="Times New Roman" w:hAnsi="Times New Roman"/>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Normal (Web)"/>
    <w:basedOn w:val="1"/>
    <w:semiHidden/>
    <w:unhideWhenUsed/>
    <w:qFormat/>
    <w:uiPriority w:val="99"/>
    <w:rPr>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4">
    <w:name w:val="UserStyle_0"/>
    <w:basedOn w:val="1"/>
    <w:qFormat/>
    <w:uiPriority w:val="0"/>
    <w:pPr>
      <w:spacing w:after="120"/>
    </w:pPr>
    <w:rPr>
      <w:rFonts w:ascii="Times New Roman" w:hAnsi="Times New Roman"/>
    </w:rPr>
  </w:style>
  <w:style w:type="character" w:customStyle="1" w:styleId="15">
    <w:name w:val="16"/>
    <w:qFormat/>
    <w:uiPriority w:val="0"/>
    <w:rPr>
      <w:rFonts w:hint="default" w:ascii="Times New Roman" w:hAnsi="Times New Roman" w:cs="Times New Roman"/>
    </w:rPr>
  </w:style>
  <w:style w:type="paragraph" w:styleId="16">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29</Pages>
  <Words>13029</Words>
  <Characters>13745</Characters>
  <Lines>111</Lines>
  <Paragraphs>31</Paragraphs>
  <TotalTime>0</TotalTime>
  <ScaleCrop>false</ScaleCrop>
  <LinksUpToDate>false</LinksUpToDate>
  <CharactersWithSpaces>13808</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2022-05-10T06:54:00Z</dcterms:created>
  <dc:creator>青</dc:creator>
  <cp:lastModifiedBy>青</cp:lastModifiedBy>
  <cp:lastPrinted>2022-06-14T08:36:00Z</cp:lastPrinted>
  <dcterms:modified xsi:type="dcterms:W3CDTF">2022-06-28T14:14:22Z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596E4C18D537494981A368B2F98B94D8</vt:lpwstr>
  </property>
</Properties>
</file>