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ascii="华文中宋" w:hAnsi="华文中宋" w:eastAsia="华文中宋" w:cs="华文中宋"/>
          <w:b/>
          <w:bCs/>
          <w:sz w:val="44"/>
          <w:szCs w:val="44"/>
          <w:u w:val="none"/>
        </w:rPr>
      </w:pPr>
    </w:p>
    <w:p>
      <w:pPr>
        <w:pStyle w:val="5"/>
        <w:rPr>
          <w:u w:val="none"/>
        </w:rPr>
      </w:pPr>
    </w:p>
    <w:p>
      <w:pPr>
        <w:spacing w:line="576" w:lineRule="exact"/>
        <w:jc w:val="center"/>
        <w:outlineLvl w:val="0"/>
        <w:rPr>
          <w:rFonts w:cs="华文中宋" w:asciiTheme="majorEastAsia" w:hAnsiTheme="majorEastAsia" w:eastAsiaTheme="majorEastAsia"/>
          <w:b/>
          <w:bCs/>
          <w:sz w:val="44"/>
          <w:szCs w:val="44"/>
          <w:u w:val="none"/>
        </w:rPr>
      </w:pPr>
      <w:r>
        <w:rPr>
          <w:rFonts w:hint="eastAsia" w:ascii="方正小标宋简体" w:hAnsi="方正小标宋简体" w:eastAsia="方正小标宋简体" w:cs="方正小标宋简体"/>
          <w:b w:val="0"/>
          <w:bCs w:val="0"/>
          <w:sz w:val="44"/>
          <w:szCs w:val="44"/>
          <w:u w:val="none"/>
        </w:rPr>
        <w:t>景德镇开放大学2021年度发展报告</w:t>
      </w:r>
    </w:p>
    <w:p>
      <w:pPr>
        <w:spacing w:line="576" w:lineRule="exact"/>
        <w:outlineLvl w:val="0"/>
        <w:rPr>
          <w:rFonts w:ascii="黑体" w:hAnsi="黑体" w:eastAsia="黑体" w:cs="黑体"/>
          <w:sz w:val="32"/>
          <w:szCs w:val="32"/>
          <w:u w:val="none"/>
        </w:rPr>
      </w:pPr>
      <w:bookmarkStart w:id="0" w:name="_Toc40173461"/>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一、</w:t>
      </w:r>
      <w:r>
        <w:rPr>
          <w:rFonts w:hint="eastAsia" w:ascii="黑体" w:hAnsi="黑体" w:eastAsia="黑体" w:cs="黑体"/>
          <w:sz w:val="32"/>
          <w:szCs w:val="32"/>
          <w:u w:val="none"/>
          <w:lang w:val="en-US" w:eastAsia="zh-CN"/>
        </w:rPr>
        <w:t>省校</w:t>
      </w:r>
      <w:r>
        <w:rPr>
          <w:rFonts w:hint="eastAsia" w:ascii="黑体" w:hAnsi="黑体" w:eastAsia="黑体" w:cs="黑体"/>
          <w:sz w:val="32"/>
          <w:szCs w:val="32"/>
          <w:u w:val="none"/>
        </w:rPr>
        <w:t>重点工作推进情况</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仿宋" w:hAnsi="仿宋" w:eastAsia="仿宋"/>
          <w:sz w:val="32"/>
          <w:szCs w:val="32"/>
          <w:u w:val="none"/>
        </w:rPr>
      </w:pPr>
      <w:r>
        <w:rPr>
          <w:rFonts w:hint="eastAsia" w:ascii="仿宋" w:hAnsi="仿宋" w:eastAsia="仿宋"/>
          <w:b/>
          <w:sz w:val="32"/>
          <w:szCs w:val="32"/>
          <w:u w:val="none"/>
        </w:rPr>
        <w:t>一是</w:t>
      </w:r>
      <w:r>
        <w:rPr>
          <w:rFonts w:hint="eastAsia" w:ascii="仿宋" w:hAnsi="仿宋" w:eastAsia="仿宋"/>
          <w:b w:val="0"/>
          <w:bCs/>
          <w:sz w:val="32"/>
          <w:szCs w:val="32"/>
          <w:u w:val="none"/>
        </w:rPr>
        <w:t>扎实</w:t>
      </w:r>
      <w:r>
        <w:rPr>
          <w:rFonts w:ascii="仿宋" w:hAnsi="仿宋" w:eastAsia="仿宋"/>
          <w:b w:val="0"/>
          <w:bCs/>
          <w:sz w:val="32"/>
          <w:szCs w:val="32"/>
          <w:u w:val="none"/>
        </w:rPr>
        <w:t>开展“提质创优”行动</w:t>
      </w:r>
      <w:r>
        <w:rPr>
          <w:rFonts w:hint="eastAsia" w:ascii="仿宋" w:hAnsi="仿宋" w:eastAsia="仿宋"/>
          <w:b w:val="0"/>
          <w:bCs/>
          <w:sz w:val="32"/>
          <w:szCs w:val="32"/>
          <w:u w:val="none"/>
        </w:rPr>
        <w:t>。进一步推进开放教育质量提升综合治理工程，做好“三治”工作，重视开放教育教学过程管理，积极探索“线上+线下”教学模式改革，加强直播教学管理和督导检查工作，提高教学效果；严格执行考试管理制度，加强学生考风考纪教育，</w:t>
      </w:r>
      <w:r>
        <w:rPr>
          <w:rFonts w:hint="eastAsia" w:ascii="仿宋" w:hAnsi="仿宋" w:eastAsia="仿宋"/>
          <w:sz w:val="32"/>
          <w:szCs w:val="32"/>
          <w:u w:val="none"/>
        </w:rPr>
        <w:t>做好考前培训，采用人脸识别技术，严把考生入场关</w:t>
      </w:r>
      <w:r>
        <w:rPr>
          <w:rFonts w:hint="eastAsia" w:ascii="仿宋" w:hAnsi="仿宋" w:eastAsia="仿宋"/>
          <w:sz w:val="32"/>
          <w:szCs w:val="32"/>
          <w:u w:val="none"/>
          <w:lang w:eastAsia="zh-CN"/>
        </w:rPr>
        <w:t>，</w:t>
      </w:r>
      <w:r>
        <w:rPr>
          <w:rFonts w:hint="eastAsia" w:ascii="仿宋" w:hAnsi="仿宋" w:eastAsia="仿宋"/>
          <w:sz w:val="32"/>
          <w:szCs w:val="32"/>
          <w:u w:val="none"/>
        </w:rPr>
        <w:t>有效防控替考行为</w:t>
      </w:r>
      <w:r>
        <w:rPr>
          <w:rFonts w:hint="eastAsia" w:ascii="仿宋" w:hAnsi="仿宋" w:eastAsia="仿宋"/>
          <w:sz w:val="32"/>
          <w:szCs w:val="32"/>
          <w:u w:val="none"/>
          <w:lang w:eastAsia="zh-CN"/>
        </w:rPr>
        <w:t>；</w:t>
      </w:r>
      <w:r>
        <w:rPr>
          <w:rFonts w:hint="eastAsia" w:ascii="仿宋" w:hAnsi="仿宋" w:eastAsia="仿宋"/>
          <w:sz w:val="32"/>
          <w:szCs w:val="32"/>
          <w:u w:val="none"/>
        </w:rPr>
        <w:t>优化招生服务手段</w:t>
      </w:r>
      <w:r>
        <w:rPr>
          <w:rFonts w:hint="eastAsia" w:ascii="仿宋" w:hAnsi="仿宋" w:eastAsia="仿宋"/>
          <w:sz w:val="32"/>
          <w:szCs w:val="32"/>
          <w:u w:val="none"/>
          <w:lang w:eastAsia="zh-CN"/>
        </w:rPr>
        <w:t>，</w:t>
      </w:r>
      <w:r>
        <w:rPr>
          <w:rFonts w:hint="eastAsia" w:ascii="仿宋" w:hAnsi="仿宋" w:eastAsia="仿宋"/>
          <w:sz w:val="32"/>
          <w:szCs w:val="32"/>
          <w:u w:val="none"/>
        </w:rPr>
        <w:t>加强招生宣传过程监管</w:t>
      </w:r>
      <w:r>
        <w:rPr>
          <w:rFonts w:hint="eastAsia" w:ascii="仿宋" w:hAnsi="仿宋" w:eastAsia="仿宋"/>
          <w:sz w:val="32"/>
          <w:szCs w:val="32"/>
          <w:u w:val="none"/>
          <w:lang w:eastAsia="zh-CN"/>
        </w:rPr>
        <w:t>，</w:t>
      </w:r>
      <w:r>
        <w:rPr>
          <w:rFonts w:hint="eastAsia" w:ascii="仿宋" w:hAnsi="仿宋" w:eastAsia="仿宋"/>
          <w:sz w:val="32"/>
          <w:szCs w:val="32"/>
          <w:u w:val="none"/>
        </w:rPr>
        <w:t>严格执行入学资格审核“首审负责制”和“复审双审制”</w:t>
      </w:r>
      <w:r>
        <w:rPr>
          <w:rFonts w:hint="eastAsia" w:ascii="仿宋" w:hAnsi="仿宋" w:eastAsia="仿宋"/>
          <w:sz w:val="32"/>
          <w:szCs w:val="32"/>
          <w:u w:val="none"/>
          <w:lang w:eastAsia="zh-CN"/>
        </w:rPr>
        <w:t>，</w:t>
      </w:r>
      <w:r>
        <w:rPr>
          <w:rFonts w:hint="eastAsia" w:ascii="仿宋" w:hAnsi="仿宋" w:eastAsia="仿宋"/>
          <w:sz w:val="32"/>
          <w:szCs w:val="32"/>
          <w:u w:val="none"/>
        </w:rPr>
        <w:t>强化入学资格审核工作</w:t>
      </w:r>
      <w:r>
        <w:rPr>
          <w:rFonts w:hint="eastAsia" w:ascii="仿宋" w:hAnsi="仿宋" w:eastAsia="仿宋"/>
          <w:sz w:val="32"/>
          <w:szCs w:val="32"/>
          <w:u w:val="none"/>
          <w:lang w:eastAsia="zh-CN"/>
        </w:rPr>
        <w:t>，</w:t>
      </w:r>
      <w:r>
        <w:rPr>
          <w:rFonts w:hint="eastAsia" w:ascii="仿宋" w:hAnsi="仿宋" w:eastAsia="仿宋"/>
          <w:sz w:val="32"/>
          <w:szCs w:val="32"/>
          <w:u w:val="none"/>
        </w:rPr>
        <w:t>严把招生入口关卡</w:t>
      </w:r>
      <w:r>
        <w:rPr>
          <w:rFonts w:hint="eastAsia" w:ascii="仿宋" w:hAnsi="仿宋" w:eastAsia="仿宋"/>
          <w:sz w:val="32"/>
          <w:szCs w:val="32"/>
          <w:u w:val="none"/>
          <w:lang w:eastAsia="zh-CN"/>
        </w:rPr>
        <w:t>，</w:t>
      </w:r>
      <w:r>
        <w:rPr>
          <w:rFonts w:hint="eastAsia" w:ascii="仿宋" w:hAnsi="仿宋" w:eastAsia="仿宋"/>
          <w:sz w:val="32"/>
          <w:szCs w:val="32"/>
          <w:u w:val="none"/>
        </w:rPr>
        <w:t>真正把高的标准、严的要求、实的举措贯穿招生工作全过程。</w:t>
      </w:r>
      <w:r>
        <w:rPr>
          <w:rFonts w:hint="eastAsia" w:ascii="仿宋" w:hAnsi="仿宋" w:eastAsia="仿宋"/>
          <w:b/>
          <w:sz w:val="32"/>
          <w:szCs w:val="32"/>
          <w:u w:val="none"/>
        </w:rPr>
        <w:t>二是</w:t>
      </w:r>
      <w:r>
        <w:rPr>
          <w:rFonts w:hint="eastAsia" w:ascii="仿宋" w:hAnsi="仿宋" w:eastAsia="仿宋"/>
          <w:b w:val="0"/>
          <w:bCs/>
          <w:sz w:val="32"/>
          <w:szCs w:val="32"/>
          <w:u w:val="none"/>
        </w:rPr>
        <w:t>顺利完成市县级电大更名工作。根据省教育厅下发《关于做好市县广播电视大学更名工作的通知》精神，学校积极与市县区教育局</w:t>
      </w:r>
      <w:r>
        <w:rPr>
          <w:rFonts w:hint="eastAsia" w:ascii="仿宋" w:hAnsi="仿宋" w:eastAsia="仿宋"/>
          <w:sz w:val="32"/>
          <w:szCs w:val="32"/>
          <w:u w:val="none"/>
        </w:rPr>
        <w:t>主动联系开展更名工作，2021年8月30日由景德镇市人民政府批复同意江西广播电视大学景德镇市分校更名为景德镇开放大学；2021年12月31日乐平市人民政府批复同意乐平市教师进修学校电大教学点更名为乐平市开放学院；同时，昌江区和浮梁县人民政府也批复成立昌江区开放学院和浮梁县开放学院，进一步完善了全省开大系统办学体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二、人才培养</w:t>
      </w:r>
      <w:bookmarkEnd w:id="0"/>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楷体" w:hAnsi="楷体" w:eastAsia="楷体" w:cs="楷体"/>
          <w:b w:val="0"/>
          <w:bCs w:val="0"/>
          <w:sz w:val="32"/>
          <w:szCs w:val="32"/>
          <w:u w:val="none"/>
        </w:rPr>
      </w:pPr>
      <w:r>
        <w:rPr>
          <w:rFonts w:hint="eastAsia" w:ascii="楷体" w:hAnsi="楷体" w:eastAsia="楷体" w:cs="楷体"/>
          <w:b w:val="0"/>
          <w:bCs w:val="0"/>
          <w:sz w:val="32"/>
          <w:szCs w:val="32"/>
          <w:u w:val="none"/>
        </w:rPr>
        <w:t>（一）学历教育整体培养情况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2021年度各类在籍（校）生1401人，同比减少29%；共培养各类毕业生共924人，同比增加16%。</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1.</w:t>
      </w:r>
      <w:r>
        <w:rPr>
          <w:rFonts w:hint="eastAsia" w:ascii="仿宋" w:hAnsi="仿宋" w:eastAsia="仿宋"/>
          <w:b w:val="0"/>
          <w:bCs/>
          <w:sz w:val="32"/>
          <w:szCs w:val="32"/>
          <w:u w:val="none"/>
          <w:lang w:val="en-US" w:eastAsia="zh-CN"/>
        </w:rPr>
        <w:t>开放</w:t>
      </w:r>
      <w:r>
        <w:rPr>
          <w:rFonts w:hint="eastAsia" w:ascii="仿宋" w:hAnsi="仿宋" w:eastAsia="仿宋"/>
          <w:b w:val="0"/>
          <w:bCs/>
          <w:sz w:val="32"/>
          <w:szCs w:val="32"/>
          <w:u w:val="none"/>
        </w:rPr>
        <w:t>教育</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2021年度共有</w:t>
      </w:r>
      <w:r>
        <w:rPr>
          <w:rFonts w:hint="eastAsia" w:ascii="仿宋" w:hAnsi="仿宋" w:eastAsia="仿宋"/>
          <w:sz w:val="32"/>
          <w:szCs w:val="32"/>
          <w:u w:val="none"/>
          <w:lang w:val="en-US" w:eastAsia="zh-CN"/>
        </w:rPr>
        <w:t>开放</w:t>
      </w:r>
      <w:r>
        <w:rPr>
          <w:rFonts w:hint="eastAsia" w:ascii="仿宋" w:hAnsi="仿宋" w:eastAsia="仿宋"/>
          <w:sz w:val="32"/>
          <w:szCs w:val="32"/>
          <w:u w:val="none"/>
        </w:rPr>
        <w:t>教育在籍生1365人，同比减少27%。其中，本科503人，占比37</w:t>
      </w:r>
      <w:r>
        <w:rPr>
          <w:rFonts w:ascii="仿宋" w:hAnsi="仿宋" w:eastAsia="仿宋"/>
          <w:sz w:val="32"/>
          <w:szCs w:val="32"/>
          <w:u w:val="none"/>
        </w:rPr>
        <w:t>%</w:t>
      </w:r>
      <w:r>
        <w:rPr>
          <w:rFonts w:hint="eastAsia" w:ascii="仿宋" w:hAnsi="仿宋" w:eastAsia="仿宋"/>
          <w:sz w:val="32"/>
          <w:szCs w:val="32"/>
          <w:u w:val="none"/>
        </w:rPr>
        <w:t>；专科862人，占比63</w:t>
      </w:r>
      <w:r>
        <w:rPr>
          <w:rFonts w:ascii="仿宋" w:hAnsi="仿宋" w:eastAsia="仿宋"/>
          <w:sz w:val="32"/>
          <w:szCs w:val="32"/>
          <w:u w:val="none"/>
        </w:rPr>
        <w:t>%</w:t>
      </w:r>
      <w:r>
        <w:rPr>
          <w:rFonts w:hint="eastAsia" w:ascii="仿宋" w:hAnsi="仿宋" w:eastAsia="仿宋"/>
          <w:sz w:val="32"/>
          <w:szCs w:val="32"/>
          <w:u w:val="none"/>
        </w:rPr>
        <w:t>；2021年度共培养</w:t>
      </w:r>
      <w:r>
        <w:rPr>
          <w:rFonts w:hint="eastAsia" w:ascii="仿宋" w:hAnsi="仿宋" w:eastAsia="仿宋"/>
          <w:sz w:val="32"/>
          <w:szCs w:val="32"/>
          <w:u w:val="none"/>
          <w:lang w:val="en-US" w:eastAsia="zh-CN"/>
        </w:rPr>
        <w:t>开放</w:t>
      </w:r>
      <w:r>
        <w:rPr>
          <w:rFonts w:hint="eastAsia" w:ascii="仿宋" w:hAnsi="仿宋" w:eastAsia="仿宋"/>
          <w:sz w:val="32"/>
          <w:szCs w:val="32"/>
          <w:u w:val="none"/>
        </w:rPr>
        <w:t>教育毕业生924人。其中，本科257人，占比28%；专科667人，占比72%。</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sz w:val="32"/>
          <w:szCs w:val="32"/>
          <w:u w:val="none"/>
          <w:lang w:val="en-US" w:eastAsia="zh-CN"/>
        </w:rPr>
      </w:pPr>
      <w:r>
        <w:rPr>
          <w:rFonts w:hint="eastAsia" w:ascii="仿宋" w:hAnsi="仿宋" w:eastAsia="仿宋"/>
          <w:sz w:val="32"/>
          <w:szCs w:val="32"/>
          <w:u w:val="none"/>
          <w:lang w:val="en-US" w:eastAsia="zh-CN"/>
        </w:rPr>
        <w:t>2.成人高等教育</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 w:hAnsi="仿宋" w:eastAsia="仿宋"/>
          <w:sz w:val="32"/>
          <w:szCs w:val="32"/>
          <w:u w:val="none"/>
          <w:lang w:val="en-US" w:eastAsia="zh-CN"/>
        </w:rPr>
      </w:pPr>
      <w:r>
        <w:rPr>
          <w:rFonts w:hint="eastAsia" w:ascii="仿宋" w:hAnsi="仿宋" w:eastAsia="仿宋"/>
          <w:sz w:val="32"/>
          <w:szCs w:val="32"/>
          <w:u w:val="none"/>
          <w:lang w:val="en-US" w:eastAsia="zh-CN"/>
        </w:rPr>
        <w:t>未开展。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lang w:val="en-US" w:eastAsia="zh-CN"/>
        </w:rPr>
        <w:t>3.</w:t>
      </w:r>
      <w:r>
        <w:rPr>
          <w:rFonts w:hint="eastAsia" w:ascii="仿宋" w:hAnsi="仿宋" w:eastAsia="仿宋"/>
          <w:b w:val="0"/>
          <w:bCs/>
          <w:sz w:val="32"/>
          <w:szCs w:val="32"/>
          <w:u w:val="none"/>
        </w:rPr>
        <w:t>职业教育（</w:t>
      </w:r>
      <w:r>
        <w:rPr>
          <w:rFonts w:hint="eastAsia" w:ascii="仿宋" w:hAnsi="仿宋" w:eastAsia="仿宋"/>
          <w:b w:val="0"/>
          <w:bCs/>
          <w:sz w:val="32"/>
          <w:szCs w:val="32"/>
          <w:u w:val="none"/>
          <w:lang w:val="en-US" w:eastAsia="zh-CN"/>
        </w:rPr>
        <w:t>高职</w:t>
      </w:r>
      <w:r>
        <w:rPr>
          <w:rFonts w:hint="eastAsia" w:ascii="仿宋" w:hAnsi="仿宋" w:eastAsia="仿宋"/>
          <w:b w:val="0"/>
          <w:bCs/>
          <w:sz w:val="32"/>
          <w:szCs w:val="32"/>
          <w:u w:val="none"/>
        </w:rPr>
        <w:t>扩招）</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2021年度共有职业教育（</w:t>
      </w:r>
      <w:r>
        <w:rPr>
          <w:rFonts w:hint="eastAsia" w:ascii="仿宋" w:hAnsi="仿宋" w:eastAsia="仿宋"/>
          <w:sz w:val="32"/>
          <w:szCs w:val="32"/>
          <w:u w:val="none"/>
          <w:lang w:val="en-US" w:eastAsia="zh-CN"/>
        </w:rPr>
        <w:t>高职</w:t>
      </w:r>
      <w:r>
        <w:rPr>
          <w:rFonts w:hint="eastAsia" w:ascii="仿宋" w:hAnsi="仿宋" w:eastAsia="仿宋"/>
          <w:sz w:val="32"/>
          <w:szCs w:val="32"/>
          <w:u w:val="none"/>
        </w:rPr>
        <w:t>扩招）在校生36人</w:t>
      </w:r>
      <w:r>
        <w:rPr>
          <w:rFonts w:hint="eastAsia" w:ascii="仿宋" w:hAnsi="仿宋" w:eastAsia="仿宋"/>
          <w:sz w:val="32"/>
          <w:szCs w:val="32"/>
          <w:u w:val="none"/>
          <w:lang w:eastAsia="zh-CN"/>
        </w:rPr>
        <w:t>，</w:t>
      </w:r>
      <w:r>
        <w:rPr>
          <w:rFonts w:hint="eastAsia" w:ascii="仿宋" w:hAnsi="仿宋" w:eastAsia="仿宋"/>
          <w:sz w:val="32"/>
          <w:szCs w:val="32"/>
          <w:u w:val="none"/>
        </w:rPr>
        <w:t>未招收新生。</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表2-1 2021年度学历教育在籍（校）生人数</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1274"/>
        <w:gridCol w:w="1635"/>
        <w:gridCol w:w="2060"/>
        <w:gridCol w:w="2060"/>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65" w:hRule="exact"/>
        </w:trPr>
        <w:tc>
          <w:tcPr>
            <w:tcW w:w="703"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层次</w:t>
            </w:r>
          </w:p>
        </w:tc>
        <w:tc>
          <w:tcPr>
            <w:tcW w:w="90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类型</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在籍（校）生人数</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本年度</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招生人数</w:t>
            </w:r>
          </w:p>
        </w:tc>
        <w:tc>
          <w:tcPr>
            <w:tcW w:w="111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本年度</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本科</w:t>
            </w:r>
          </w:p>
        </w:tc>
        <w:tc>
          <w:tcPr>
            <w:tcW w:w="90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开放本科</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503</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217</w:t>
            </w:r>
          </w:p>
        </w:tc>
        <w:tc>
          <w:tcPr>
            <w:tcW w:w="111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restar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专科</w:t>
            </w:r>
          </w:p>
        </w:tc>
        <w:tc>
          <w:tcPr>
            <w:tcW w:w="90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开放专科</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862</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346</w:t>
            </w:r>
          </w:p>
        </w:tc>
        <w:tc>
          <w:tcPr>
            <w:tcW w:w="111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p>
        </w:tc>
        <w:tc>
          <w:tcPr>
            <w:tcW w:w="90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成人专科</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111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p>
        </w:tc>
        <w:tc>
          <w:tcPr>
            <w:tcW w:w="90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高职扩招</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36</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111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中专</w:t>
            </w:r>
          </w:p>
        </w:tc>
        <w:tc>
          <w:tcPr>
            <w:tcW w:w="90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成人中专</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111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605" w:type="pct"/>
            <w:gridSpan w:val="2"/>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合计</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1401</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563</w:t>
            </w:r>
          </w:p>
        </w:tc>
        <w:tc>
          <w:tcPr>
            <w:tcW w:w="111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605" w:type="pct"/>
            <w:gridSpan w:val="2"/>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全省排名</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sz w:val="28"/>
                <w:szCs w:val="28"/>
                <w:u w:val="none"/>
                <w:lang w:eastAsia="zh-CN"/>
              </w:rPr>
            </w:pPr>
            <w:r>
              <w:rPr>
                <w:rFonts w:hint="eastAsia" w:ascii="仿宋" w:hAnsi="仿宋" w:eastAsia="仿宋"/>
                <w:sz w:val="28"/>
                <w:szCs w:val="28"/>
                <w:u w:val="none"/>
              </w:rPr>
              <w:t>1</w:t>
            </w:r>
            <w:r>
              <w:rPr>
                <w:rFonts w:hint="eastAsia" w:ascii="仿宋" w:hAnsi="仿宋" w:eastAsia="仿宋"/>
                <w:sz w:val="28"/>
                <w:szCs w:val="28"/>
                <w:u w:val="none"/>
                <w:lang w:val="en-US" w:eastAsia="zh-CN"/>
              </w:rPr>
              <w:t>1</w:t>
            </w:r>
          </w:p>
        </w:tc>
        <w:tc>
          <w:tcPr>
            <w:tcW w:w="113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sz w:val="28"/>
                <w:szCs w:val="28"/>
                <w:u w:val="none"/>
                <w:lang w:eastAsia="zh-CN"/>
              </w:rPr>
            </w:pPr>
            <w:r>
              <w:rPr>
                <w:rFonts w:hint="eastAsia" w:ascii="仿宋" w:hAnsi="仿宋" w:eastAsia="仿宋"/>
                <w:sz w:val="28"/>
                <w:szCs w:val="28"/>
                <w:u w:val="none"/>
              </w:rPr>
              <w:t>1</w:t>
            </w:r>
            <w:r>
              <w:rPr>
                <w:rFonts w:hint="eastAsia" w:ascii="仿宋" w:hAnsi="仿宋" w:eastAsia="仿宋"/>
                <w:sz w:val="28"/>
                <w:szCs w:val="28"/>
                <w:u w:val="none"/>
                <w:lang w:val="en-US" w:eastAsia="zh-CN"/>
              </w:rPr>
              <w:t>1</w:t>
            </w:r>
          </w:p>
        </w:tc>
        <w:tc>
          <w:tcPr>
            <w:tcW w:w="111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楷体" w:hAnsi="楷体" w:eastAsia="楷体" w:cs="楷体"/>
          <w:b w:val="0"/>
          <w:bCs w:val="0"/>
          <w:sz w:val="32"/>
          <w:szCs w:val="32"/>
          <w:u w:val="none"/>
        </w:rPr>
      </w:pPr>
      <w:r>
        <w:rPr>
          <w:rFonts w:hint="eastAsia" w:ascii="楷体" w:hAnsi="楷体" w:eastAsia="楷体" w:cs="楷体"/>
          <w:b w:val="0"/>
          <w:bCs w:val="0"/>
          <w:sz w:val="32"/>
          <w:szCs w:val="32"/>
          <w:u w:val="none"/>
        </w:rPr>
        <w:t>（二）非学历教育整体培养情况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ascii="仿宋" w:hAnsi="仿宋" w:eastAsia="仿宋"/>
          <w:sz w:val="32"/>
          <w:szCs w:val="32"/>
          <w:u w:val="none"/>
        </w:rPr>
        <w:t>2021</w:t>
      </w:r>
      <w:r>
        <w:rPr>
          <w:rFonts w:hint="eastAsia" w:ascii="仿宋" w:hAnsi="仿宋" w:eastAsia="仿宋"/>
          <w:sz w:val="32"/>
          <w:szCs w:val="32"/>
          <w:u w:val="none"/>
        </w:rPr>
        <w:t>年度</w:t>
      </w:r>
      <w:r>
        <w:rPr>
          <w:rFonts w:ascii="仿宋" w:hAnsi="仿宋" w:eastAsia="仿宋"/>
          <w:sz w:val="32"/>
          <w:szCs w:val="32"/>
          <w:u w:val="none"/>
        </w:rPr>
        <w:t>非学历继续教育项目3个，开设培训班5个</w:t>
      </w:r>
      <w:r>
        <w:rPr>
          <w:rFonts w:hint="eastAsia" w:ascii="仿宋" w:hAnsi="仿宋" w:eastAsia="仿宋"/>
          <w:sz w:val="32"/>
          <w:szCs w:val="32"/>
          <w:u w:val="none"/>
        </w:rPr>
        <w:t>班次</w:t>
      </w:r>
      <w:r>
        <w:rPr>
          <w:rFonts w:ascii="仿宋" w:hAnsi="仿宋" w:eastAsia="仿宋"/>
          <w:sz w:val="32"/>
          <w:szCs w:val="32"/>
          <w:u w:val="none"/>
        </w:rPr>
        <w:t>，培训规模3218人次</w:t>
      </w:r>
      <w:r>
        <w:rPr>
          <w:rFonts w:hint="eastAsia" w:ascii="仿宋" w:hAnsi="仿宋" w:eastAsia="仿宋"/>
          <w:sz w:val="32"/>
          <w:szCs w:val="32"/>
          <w:u w:val="none"/>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 xml:space="preserve">表2-2 </w:t>
      </w:r>
      <w:r>
        <w:rPr>
          <w:rFonts w:ascii="仿宋" w:hAnsi="仿宋" w:eastAsia="仿宋"/>
          <w:sz w:val="28"/>
          <w:szCs w:val="28"/>
          <w:u w:val="none"/>
        </w:rPr>
        <w:t>2021</w:t>
      </w:r>
      <w:r>
        <w:rPr>
          <w:rFonts w:hint="eastAsia" w:ascii="仿宋" w:hAnsi="仿宋" w:eastAsia="仿宋"/>
          <w:sz w:val="28"/>
          <w:szCs w:val="28"/>
          <w:u w:val="none"/>
        </w:rPr>
        <w:t>年度非学历教育情况</w:t>
      </w:r>
    </w:p>
    <w:tbl>
      <w:tblPr>
        <w:tblStyle w:val="11"/>
        <w:tblW w:w="4998" w:type="pct"/>
        <w:jc w:val="center"/>
        <w:tblLayout w:type="autofit"/>
        <w:tblCellMar>
          <w:top w:w="0" w:type="dxa"/>
          <w:left w:w="108" w:type="dxa"/>
          <w:bottom w:w="0" w:type="dxa"/>
          <w:right w:w="108" w:type="dxa"/>
        </w:tblCellMar>
      </w:tblPr>
      <w:tblGrid>
        <w:gridCol w:w="776"/>
        <w:gridCol w:w="1819"/>
        <w:gridCol w:w="4115"/>
        <w:gridCol w:w="1149"/>
        <w:gridCol w:w="1198"/>
      </w:tblGrid>
      <w:tr>
        <w:tblPrEx>
          <w:tblCellMar>
            <w:top w:w="0" w:type="dxa"/>
            <w:left w:w="108" w:type="dxa"/>
            <w:bottom w:w="0" w:type="dxa"/>
            <w:right w:w="108" w:type="dxa"/>
          </w:tblCellMar>
        </w:tblPrEx>
        <w:trPr>
          <w:trHeight w:val="340" w:hRule="atLeast"/>
          <w:jc w:val="center"/>
        </w:trPr>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序号</w:t>
            </w:r>
          </w:p>
        </w:tc>
        <w:tc>
          <w:tcPr>
            <w:tcW w:w="100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行业</w:t>
            </w:r>
          </w:p>
        </w:tc>
        <w:tc>
          <w:tcPr>
            <w:tcW w:w="227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培训对象</w:t>
            </w:r>
          </w:p>
        </w:tc>
        <w:tc>
          <w:tcPr>
            <w:tcW w:w="63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班次</w:t>
            </w:r>
          </w:p>
        </w:tc>
        <w:tc>
          <w:tcPr>
            <w:tcW w:w="66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人次</w:t>
            </w:r>
          </w:p>
        </w:tc>
      </w:tr>
      <w:tr>
        <w:tblPrEx>
          <w:tblCellMar>
            <w:top w:w="0" w:type="dxa"/>
            <w:left w:w="108" w:type="dxa"/>
            <w:bottom w:w="0" w:type="dxa"/>
            <w:right w:w="108" w:type="dxa"/>
          </w:tblCellMar>
        </w:tblPrEx>
        <w:trPr>
          <w:trHeight w:val="340" w:hRule="atLeast"/>
          <w:jc w:val="center"/>
        </w:trPr>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w:t>
            </w:r>
          </w:p>
        </w:tc>
        <w:tc>
          <w:tcPr>
            <w:tcW w:w="100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事业单位</w:t>
            </w:r>
          </w:p>
        </w:tc>
        <w:tc>
          <w:tcPr>
            <w:tcW w:w="227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社会工作者</w:t>
            </w:r>
          </w:p>
        </w:tc>
        <w:tc>
          <w:tcPr>
            <w:tcW w:w="6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w:t>
            </w:r>
            <w:r>
              <w:rPr>
                <w:rFonts w:ascii="仿宋" w:hAnsi="仿宋" w:eastAsia="仿宋"/>
                <w:sz w:val="28"/>
                <w:szCs w:val="28"/>
                <w:u w:val="none"/>
              </w:rPr>
              <w:t>6</w:t>
            </w:r>
          </w:p>
        </w:tc>
      </w:tr>
      <w:tr>
        <w:tblPrEx>
          <w:tblCellMar>
            <w:top w:w="0" w:type="dxa"/>
            <w:left w:w="108" w:type="dxa"/>
            <w:bottom w:w="0" w:type="dxa"/>
            <w:right w:w="108" w:type="dxa"/>
          </w:tblCellMar>
        </w:tblPrEx>
        <w:trPr>
          <w:trHeight w:val="340" w:hRule="atLeast"/>
          <w:jc w:val="center"/>
        </w:trPr>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w:t>
            </w:r>
          </w:p>
        </w:tc>
        <w:tc>
          <w:tcPr>
            <w:tcW w:w="100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教育</w:t>
            </w:r>
          </w:p>
        </w:tc>
        <w:tc>
          <w:tcPr>
            <w:tcW w:w="227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中小学幼儿园教师</w:t>
            </w:r>
          </w:p>
        </w:tc>
        <w:tc>
          <w:tcPr>
            <w:tcW w:w="6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w:t>
            </w:r>
            <w:r>
              <w:rPr>
                <w:rFonts w:ascii="仿宋" w:hAnsi="仿宋" w:eastAsia="仿宋"/>
                <w:sz w:val="28"/>
                <w:szCs w:val="28"/>
                <w:u w:val="none"/>
              </w:rPr>
              <w:t>752</w:t>
            </w:r>
          </w:p>
        </w:tc>
      </w:tr>
      <w:tr>
        <w:tblPrEx>
          <w:tblCellMar>
            <w:top w:w="0" w:type="dxa"/>
            <w:left w:w="108" w:type="dxa"/>
            <w:bottom w:w="0" w:type="dxa"/>
            <w:right w:w="108" w:type="dxa"/>
          </w:tblCellMar>
        </w:tblPrEx>
        <w:trPr>
          <w:trHeight w:val="340" w:hRule="atLeast"/>
          <w:jc w:val="center"/>
        </w:trPr>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w:t>
            </w:r>
          </w:p>
        </w:tc>
        <w:tc>
          <w:tcPr>
            <w:tcW w:w="100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社区公益</w:t>
            </w:r>
          </w:p>
        </w:tc>
        <w:tc>
          <w:tcPr>
            <w:tcW w:w="227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小学生及家长</w:t>
            </w:r>
          </w:p>
        </w:tc>
        <w:tc>
          <w:tcPr>
            <w:tcW w:w="6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ascii="仿宋" w:hAnsi="仿宋" w:eastAsia="仿宋"/>
                <w:sz w:val="28"/>
                <w:szCs w:val="28"/>
                <w:u w:val="none"/>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w:t>
            </w:r>
            <w:r>
              <w:rPr>
                <w:rFonts w:ascii="仿宋" w:hAnsi="仿宋" w:eastAsia="仿宋"/>
                <w:sz w:val="28"/>
                <w:szCs w:val="28"/>
                <w:u w:val="none"/>
              </w:rPr>
              <w:t>30</w:t>
            </w:r>
          </w:p>
        </w:tc>
      </w:tr>
      <w:tr>
        <w:tblPrEx>
          <w:tblCellMar>
            <w:top w:w="0" w:type="dxa"/>
            <w:left w:w="108" w:type="dxa"/>
            <w:bottom w:w="0" w:type="dxa"/>
            <w:right w:w="108" w:type="dxa"/>
          </w:tblCellMar>
        </w:tblPrEx>
        <w:trPr>
          <w:trHeight w:val="340" w:hRule="exact"/>
          <w:jc w:val="center"/>
        </w:trPr>
        <w:tc>
          <w:tcPr>
            <w:tcW w:w="370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合计</w:t>
            </w:r>
          </w:p>
        </w:tc>
        <w:tc>
          <w:tcPr>
            <w:tcW w:w="6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ascii="仿宋" w:hAnsi="仿宋" w:eastAsia="仿宋"/>
                <w:sz w:val="28"/>
                <w:szCs w:val="28"/>
                <w:u w:val="none"/>
              </w:rPr>
              <w:t>5</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ascii="仿宋" w:hAnsi="仿宋" w:eastAsia="仿宋"/>
                <w:sz w:val="28"/>
                <w:szCs w:val="28"/>
                <w:u w:val="none"/>
              </w:rPr>
              <w:t>3218</w:t>
            </w:r>
          </w:p>
        </w:tc>
      </w:tr>
      <w:tr>
        <w:tblPrEx>
          <w:tblCellMar>
            <w:top w:w="0" w:type="dxa"/>
            <w:left w:w="108" w:type="dxa"/>
            <w:bottom w:w="0" w:type="dxa"/>
            <w:right w:w="108" w:type="dxa"/>
          </w:tblCellMar>
        </w:tblPrEx>
        <w:trPr>
          <w:trHeight w:val="340" w:hRule="exact"/>
          <w:jc w:val="center"/>
        </w:trPr>
        <w:tc>
          <w:tcPr>
            <w:tcW w:w="3704" w:type="pct"/>
            <w:gridSpan w:val="3"/>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全省排名</w:t>
            </w:r>
          </w:p>
        </w:tc>
        <w:tc>
          <w:tcPr>
            <w:tcW w:w="634"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sz w:val="28"/>
                <w:szCs w:val="28"/>
                <w:u w:val="none"/>
                <w:lang w:val="en-US" w:eastAsia="zh-CN"/>
              </w:rPr>
            </w:pPr>
            <w:r>
              <w:rPr>
                <w:rFonts w:hint="eastAsia" w:ascii="仿宋" w:hAnsi="仿宋" w:eastAsia="仿宋"/>
                <w:sz w:val="28"/>
                <w:szCs w:val="28"/>
                <w:u w:val="none"/>
                <w:lang w:val="en-US" w:eastAsia="zh-CN"/>
              </w:rPr>
              <w:t>10</w:t>
            </w:r>
          </w:p>
        </w:tc>
        <w:tc>
          <w:tcPr>
            <w:tcW w:w="661"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7</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楷体" w:hAnsi="楷体" w:eastAsia="楷体" w:cs="楷体"/>
          <w:b w:val="0"/>
          <w:bCs w:val="0"/>
          <w:sz w:val="32"/>
          <w:szCs w:val="32"/>
          <w:u w:val="none"/>
        </w:rPr>
      </w:pPr>
      <w:r>
        <w:rPr>
          <w:rFonts w:hint="eastAsia" w:ascii="楷体" w:hAnsi="楷体" w:eastAsia="楷体" w:cs="楷体"/>
          <w:b w:val="0"/>
          <w:bCs w:val="0"/>
          <w:sz w:val="32"/>
          <w:szCs w:val="32"/>
          <w:u w:val="none"/>
        </w:rPr>
        <w:t>（三）学校专业设置情况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2021年度招收开放教育</w:t>
      </w:r>
      <w:r>
        <w:rPr>
          <w:rFonts w:ascii="仿宋" w:hAnsi="仿宋" w:eastAsia="仿宋"/>
          <w:sz w:val="32"/>
          <w:szCs w:val="32"/>
          <w:u w:val="none"/>
        </w:rPr>
        <w:t>本</w:t>
      </w:r>
      <w:r>
        <w:rPr>
          <w:rFonts w:hint="eastAsia" w:ascii="仿宋" w:hAnsi="仿宋" w:eastAsia="仿宋"/>
          <w:sz w:val="32"/>
          <w:szCs w:val="32"/>
          <w:u w:val="none"/>
        </w:rPr>
        <w:t>、</w:t>
      </w:r>
      <w:r>
        <w:rPr>
          <w:rFonts w:ascii="仿宋" w:hAnsi="仿宋" w:eastAsia="仿宋"/>
          <w:sz w:val="32"/>
          <w:szCs w:val="32"/>
          <w:u w:val="none"/>
        </w:rPr>
        <w:t>专科</w:t>
      </w:r>
      <w:r>
        <w:rPr>
          <w:rFonts w:hint="eastAsia" w:ascii="仿宋" w:hAnsi="仿宋" w:eastAsia="仿宋"/>
          <w:sz w:val="32"/>
          <w:szCs w:val="32"/>
          <w:u w:val="none"/>
        </w:rPr>
        <w:t>专业共19</w:t>
      </w:r>
      <w:r>
        <w:rPr>
          <w:rFonts w:ascii="仿宋" w:hAnsi="仿宋" w:eastAsia="仿宋"/>
          <w:sz w:val="32"/>
          <w:szCs w:val="32"/>
          <w:u w:val="none"/>
        </w:rPr>
        <w:t>个，</w:t>
      </w:r>
      <w:r>
        <w:rPr>
          <w:rFonts w:hint="eastAsia" w:ascii="仿宋" w:hAnsi="仿宋" w:eastAsia="仿宋"/>
          <w:sz w:val="32"/>
          <w:szCs w:val="32"/>
          <w:u w:val="none"/>
        </w:rPr>
        <w:t>持续不变。其中，本科10个，占比52%；专科9个，占比48%。</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 w:hAnsi="仿宋" w:eastAsia="仿宋"/>
          <w:sz w:val="28"/>
          <w:szCs w:val="28"/>
          <w:u w:val="none"/>
        </w:rPr>
      </w:pPr>
      <w:r>
        <w:rPr>
          <w:rFonts w:hint="eastAsia" w:ascii="仿宋" w:hAnsi="仿宋" w:eastAsia="仿宋"/>
          <w:sz w:val="28"/>
          <w:szCs w:val="28"/>
          <w:u w:val="none"/>
        </w:rPr>
        <w:t>表2-3-1 2021年度开放教育招生规模排名前五位的本科专业</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专业名称</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招生数（人）</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行政管理</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103</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法学</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40</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土木工程</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33</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汉语言文学</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工商管理</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4.6</w:t>
            </w:r>
          </w:p>
        </w:tc>
      </w:tr>
    </w:tbl>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 w:hAnsi="仿宋" w:eastAsia="仿宋"/>
          <w:sz w:val="28"/>
          <w:szCs w:val="28"/>
          <w:u w:val="none"/>
        </w:rPr>
      </w:pPr>
      <w:r>
        <w:rPr>
          <w:rFonts w:hint="eastAsia" w:ascii="仿宋" w:hAnsi="仿宋" w:eastAsia="仿宋"/>
          <w:sz w:val="28"/>
          <w:szCs w:val="28"/>
          <w:u w:val="none"/>
        </w:rPr>
        <w:t>表2-3-2 2021年度开放教育招生规模排名前五位的专科专业</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专业名称</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招生数（人）</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行政管理</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154</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建设工程管理</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64</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法律事务</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61</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工商企业管理</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24</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学前教育</w:t>
            </w:r>
          </w:p>
        </w:tc>
        <w:tc>
          <w:tcPr>
            <w:tcW w:w="172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21</w:t>
            </w:r>
          </w:p>
        </w:tc>
        <w:tc>
          <w:tcPr>
            <w:tcW w:w="13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楷体" w:hAnsi="楷体" w:eastAsia="楷体" w:cs="楷体"/>
          <w:b w:val="0"/>
          <w:bCs w:val="0"/>
          <w:sz w:val="32"/>
          <w:szCs w:val="32"/>
          <w:u w:val="none"/>
        </w:rPr>
      </w:pPr>
      <w:r>
        <w:rPr>
          <w:rFonts w:hint="eastAsia" w:ascii="楷体" w:hAnsi="楷体" w:eastAsia="楷体" w:cs="楷体"/>
          <w:b w:val="0"/>
          <w:bCs w:val="0"/>
          <w:sz w:val="32"/>
          <w:szCs w:val="32"/>
          <w:u w:val="none"/>
        </w:rPr>
        <w:t>（四）质量提升综治工程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1.质量保障制度</w:t>
      </w:r>
    </w:p>
    <w:p>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ascii="仿宋" w:hAnsi="仿宋" w:eastAsia="仿宋"/>
          <w:sz w:val="32"/>
          <w:szCs w:val="32"/>
          <w:u w:val="none"/>
        </w:rPr>
      </w:pPr>
      <w:r>
        <w:rPr>
          <w:rFonts w:hint="eastAsia" w:ascii="仿宋" w:hAnsi="仿宋" w:eastAsia="仿宋"/>
          <w:sz w:val="32"/>
          <w:szCs w:val="32"/>
          <w:u w:val="none"/>
        </w:rPr>
        <w:t>2021年度建立健全校内质量管理制度1项。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表2-4-1 2021年度重要规章制度建设情况</w:t>
      </w:r>
    </w:p>
    <w:tbl>
      <w:tblPr>
        <w:tblStyle w:val="1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615"/>
        <w:gridCol w:w="6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序号</w:t>
            </w: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类别</w:t>
            </w:r>
          </w:p>
        </w:tc>
        <w:tc>
          <w:tcPr>
            <w:tcW w:w="348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w:t>
            </w: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教学</w:t>
            </w:r>
          </w:p>
        </w:tc>
        <w:tc>
          <w:tcPr>
            <w:tcW w:w="348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景德镇开放大学开放教育教学过程管理规范实施细则</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2.</w:t>
      </w:r>
      <w:r>
        <w:rPr>
          <w:rFonts w:hint="eastAsia" w:ascii="仿宋" w:hAnsi="仿宋" w:eastAsia="仿宋" w:cs="仿宋"/>
          <w:b w:val="0"/>
          <w:bCs/>
          <w:sz w:val="32"/>
          <w:szCs w:val="32"/>
          <w:u w:val="none"/>
        </w:rPr>
        <w:t>办学体系和招生管理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lang w:val="en-US" w:eastAsia="zh-CN"/>
        </w:rPr>
        <w:t>景德镇</w:t>
      </w:r>
      <w:r>
        <w:rPr>
          <w:rFonts w:hint="eastAsia" w:ascii="仿宋" w:hAnsi="仿宋" w:eastAsia="仿宋"/>
          <w:sz w:val="32"/>
          <w:szCs w:val="32"/>
          <w:u w:val="none"/>
        </w:rPr>
        <w:t>市共辖2个市辖区、1个县级市、1个县。截至2021年12月，</w:t>
      </w:r>
      <w:r>
        <w:rPr>
          <w:rFonts w:hint="eastAsia" w:ascii="仿宋" w:hAnsi="仿宋" w:eastAsia="仿宋"/>
          <w:sz w:val="32"/>
          <w:szCs w:val="32"/>
          <w:u w:val="none"/>
          <w:lang w:val="en-US" w:eastAsia="zh-CN"/>
        </w:rPr>
        <w:t>学</w:t>
      </w:r>
      <w:r>
        <w:rPr>
          <w:rFonts w:hint="eastAsia" w:ascii="仿宋" w:hAnsi="仿宋" w:eastAsia="仿宋"/>
          <w:sz w:val="32"/>
          <w:szCs w:val="32"/>
          <w:u w:val="none"/>
        </w:rPr>
        <w:t>校所辖县级机构覆盖1个市辖区、1个县级市、1个县。所辖县级机构包含3个开放学院（1个已招生办学）。2021年度无新增学习中心，无撤销学习中心。2021年度所辖县级机构共招收学生90人，占全市招生的15.9%。</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县级机构管理工作主要体现在：加强对学习中心的招生过程监督管理，并定期检查，对查找出来的问题及时督促整改。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主要做法是：一是定期开展招生工作推进会，灌输规范的招生理念，强化并端正招生工作人员思想意识；二是强化招生过程监管，时刻关注学习中心及教职工发布的招生宣传信息，对发布模糊和虚假信息误导学生的教职工进行指导教育，并及时对宣传信息予以纠正；三是开展入学资格审查工作培训会，提升学习中心资格审查工作人员业务能力，严格把控各类生源入学资格审查环节，对报名材料进行初审、复审，对不符合要求的学生一律不予招录，对材料不齐全的学生一律补齐材料才予录入系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招生管理工作主要体现在：贯彻学历教育“创优提质”发展战略，加强招生队伍建设和管理，切实把好入口关。一是加强招生宣传过程监管，严格遵守国家开放大学统一的招生政策开展招生宣传工作，严格审核招生老师通过个人途径发布的招生广告，并做好招生咨询、监督工作。二是遵照入学资格审核“分级审核、分工实施”原则，强化入学资格审核工作的具体职责和工作接口管理，做到首审负责，避免多头管理和工作遗漏，严格执行入学资格审核“首审负责制”和“复审双审制”，严格按照招生对象要求，审查学生的身份、前置学历等信息材料。2021年度学校</w:t>
      </w:r>
      <w:r>
        <w:rPr>
          <w:rFonts w:hint="eastAsia" w:ascii="仿宋" w:hAnsi="仿宋" w:eastAsia="仿宋"/>
          <w:b w:val="0"/>
          <w:bCs w:val="0"/>
          <w:sz w:val="32"/>
          <w:szCs w:val="32"/>
          <w:u w:val="none"/>
          <w:lang w:eastAsia="zh-CN"/>
        </w:rPr>
        <w:t>坚决杜绝</w:t>
      </w:r>
      <w:r>
        <w:rPr>
          <w:rFonts w:hint="eastAsia" w:ascii="仿宋" w:hAnsi="仿宋" w:eastAsia="仿宋"/>
          <w:b w:val="0"/>
          <w:bCs w:val="0"/>
          <w:sz w:val="32"/>
          <w:szCs w:val="32"/>
          <w:u w:val="none"/>
        </w:rPr>
        <w:t>虚假宣传和虚假承诺，不存在跨区域招生异地注册，不在备案地址以外另设具有招生或考试功能的分支机构或委托中介机构、个人代理招生，没有擅自开展招生和办学活动，招生工作无任何违规现象。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3.信息化和教学资源建设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lang w:val="en-US" w:eastAsia="zh-CN"/>
        </w:rPr>
        <w:t>学校</w:t>
      </w:r>
      <w:r>
        <w:rPr>
          <w:rFonts w:hint="eastAsia" w:ascii="仿宋" w:hAnsi="仿宋" w:eastAsia="仿宋"/>
          <w:b w:val="0"/>
          <w:bCs w:val="0"/>
          <w:sz w:val="32"/>
          <w:szCs w:val="32"/>
          <w:u w:val="none"/>
        </w:rPr>
        <w:t>互联网接入是通过中国电信的光纤接入方式完成</w:t>
      </w:r>
      <w:r>
        <w:rPr>
          <w:rFonts w:hint="eastAsia" w:ascii="仿宋" w:hAnsi="仿宋" w:eastAsia="仿宋"/>
          <w:b w:val="0"/>
          <w:bCs w:val="0"/>
          <w:sz w:val="32"/>
          <w:szCs w:val="32"/>
          <w:u w:val="none"/>
          <w:lang w:eastAsia="zh-CN"/>
        </w:rPr>
        <w:t>，</w:t>
      </w:r>
      <w:r>
        <w:rPr>
          <w:rFonts w:hint="eastAsia" w:ascii="仿宋" w:hAnsi="仿宋" w:eastAsia="仿宋"/>
          <w:b w:val="0"/>
          <w:bCs w:val="0"/>
          <w:sz w:val="32"/>
          <w:szCs w:val="32"/>
          <w:u w:val="none"/>
        </w:rPr>
        <w:t>通过以太网接入技术，从城域网的节点经过交换器和集线器将光纤直接拉到中心机房，利用带宽资源共享方式，提供网络接入互联网。主干线的带宽为100M，校园网内的计算机通过路由器和中心交换机接入互联网。现有一个50座的网络机房，和一个12座的多媒体教室，拥有一间云教室，其功能主要是依托互联网、能够为学生提供好学习环境。另外，还配备了5台65寸的中原一体机、笔记本电脑、身份证识别仪、人脸识别仪等设备。为教师教学、学生自主学习、各类考试</w:t>
      </w:r>
      <w:r>
        <w:rPr>
          <w:rFonts w:hint="eastAsia" w:ascii="仿宋" w:hAnsi="仿宋" w:eastAsia="仿宋"/>
          <w:b w:val="0"/>
          <w:bCs w:val="0"/>
          <w:sz w:val="32"/>
          <w:szCs w:val="32"/>
          <w:u w:val="none"/>
          <w:lang w:eastAsia="zh-CN"/>
        </w:rPr>
        <w:t>，</w:t>
      </w:r>
      <w:r>
        <w:rPr>
          <w:rFonts w:hint="eastAsia" w:ascii="仿宋" w:hAnsi="仿宋" w:eastAsia="仿宋"/>
          <w:b w:val="0"/>
          <w:bCs w:val="0"/>
          <w:sz w:val="32"/>
          <w:szCs w:val="32"/>
          <w:u w:val="none"/>
        </w:rPr>
        <w:t>提供更好的服务保障。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4.学习支持服务和教学过程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lang w:val="en-US" w:eastAsia="zh-CN"/>
        </w:rPr>
        <w:t>学</w:t>
      </w:r>
      <w:r>
        <w:rPr>
          <w:rFonts w:hint="eastAsia" w:ascii="仿宋" w:hAnsi="仿宋" w:eastAsia="仿宋"/>
          <w:sz w:val="32"/>
          <w:szCs w:val="32"/>
          <w:u w:val="none"/>
        </w:rPr>
        <w:t>校贯彻《江西广播电视大学开放教育教学过程管理暂行办法》的文件精神，以国家开放大学质量标准为准绳，加强了对面授教学、网上教学、实践教学等环节全过程管理，每一个环节都规范有序，保证教学工作的正常运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面授教学方面。面授课课时一般控制在教学计划的30%以内，明确辅导教师责任，实行教学值班，做好教师和学生签到工作。积极探索“线上+线下”教学模式改革，鼓励教师进行直播面授。2021年春季校本部开设面授课程18门，面授课程率不到10%，其中三门课采用钉钉进行直播教学，入学教育出勤率达70%，其他课程出勤率20%左右。充分利用国开和省校优秀师资力量组织学生参加国开和省校直播课堂学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网上教学方面。及时完成国家开放大学学习网选课工作，安排网上辅导教师，组织学生进行课程学习与考核。开展网上教学培训工作，对近期的业务要求和相关内容的更新进行讲解，对网上考核的评阅质量提出要求。定期发布网检数据，开展提醒服务</w:t>
      </w:r>
      <w:r>
        <w:rPr>
          <w:rFonts w:hint="eastAsia" w:ascii="仿宋" w:hAnsi="仿宋" w:eastAsia="仿宋"/>
          <w:sz w:val="32"/>
          <w:szCs w:val="32"/>
          <w:u w:val="none"/>
          <w:lang w:eastAsia="zh-CN"/>
        </w:rPr>
        <w:t>，</w:t>
      </w:r>
      <w:r>
        <w:rPr>
          <w:rFonts w:hint="eastAsia" w:ascii="仿宋" w:hAnsi="仿宋" w:eastAsia="仿宋"/>
          <w:sz w:val="32"/>
          <w:szCs w:val="32"/>
          <w:u w:val="none"/>
        </w:rPr>
        <w:t>督促学生参与网上学习。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实践教学方面。学校成立各专业实践环节领导小组，制定出适合</w:t>
      </w:r>
      <w:r>
        <w:rPr>
          <w:rFonts w:hint="eastAsia" w:ascii="仿宋" w:hAnsi="仿宋" w:eastAsia="仿宋"/>
          <w:sz w:val="32"/>
          <w:szCs w:val="32"/>
          <w:u w:val="none"/>
          <w:lang w:val="en-US" w:eastAsia="zh-CN"/>
        </w:rPr>
        <w:t>学</w:t>
      </w:r>
      <w:r>
        <w:rPr>
          <w:rFonts w:hint="eastAsia" w:ascii="仿宋" w:hAnsi="仿宋" w:eastAsia="仿宋"/>
          <w:sz w:val="32"/>
          <w:szCs w:val="32"/>
          <w:u w:val="none"/>
        </w:rPr>
        <w:t>校实际的各专业实践环节教学实施细则，进行统筹规划。从聘任指导教师开始到论文写作指导、定稿、答辩等形成控制管理链。论文指导、答辩过程动态资料完整、真实。学生100%参加实践环节的学习，并按要求完成，本科学生100%参加答辩，2021秋毕业论文送审全部通过。</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表2-4-4-1 2021年度国开学习网教学基本情况</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6"/>
        <w:gridCol w:w="1430"/>
        <w:gridCol w:w="1428"/>
        <w:gridCol w:w="1430"/>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40"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学期</w:t>
            </w:r>
          </w:p>
        </w:tc>
        <w:tc>
          <w:tcPr>
            <w:tcW w:w="7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生师比</w:t>
            </w:r>
          </w:p>
        </w:tc>
        <w:tc>
          <w:tcPr>
            <w:tcW w:w="7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上线学生比例</w:t>
            </w:r>
          </w:p>
        </w:tc>
        <w:tc>
          <w:tcPr>
            <w:tcW w:w="7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上线教师比例</w:t>
            </w:r>
          </w:p>
        </w:tc>
        <w:tc>
          <w:tcPr>
            <w:tcW w:w="14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40"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春季</w:t>
            </w:r>
          </w:p>
        </w:tc>
        <w:tc>
          <w:tcPr>
            <w:tcW w:w="7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52.03</w:t>
            </w:r>
          </w:p>
        </w:tc>
        <w:tc>
          <w:tcPr>
            <w:tcW w:w="7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90.42</w:t>
            </w:r>
          </w:p>
        </w:tc>
        <w:tc>
          <w:tcPr>
            <w:tcW w:w="7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95</w:t>
            </w:r>
          </w:p>
        </w:tc>
        <w:tc>
          <w:tcPr>
            <w:tcW w:w="14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87.36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40" w:type="pct"/>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排名</w:t>
            </w:r>
          </w:p>
        </w:tc>
        <w:tc>
          <w:tcPr>
            <w:tcW w:w="789" w:type="pct"/>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w:t>
            </w:r>
          </w:p>
        </w:tc>
        <w:tc>
          <w:tcPr>
            <w:tcW w:w="788" w:type="pct"/>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w:t>
            </w:r>
          </w:p>
        </w:tc>
        <w:tc>
          <w:tcPr>
            <w:tcW w:w="789" w:type="pct"/>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w:t>
            </w:r>
          </w:p>
        </w:tc>
        <w:tc>
          <w:tcPr>
            <w:tcW w:w="1491" w:type="pct"/>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4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秋季</w:t>
            </w:r>
          </w:p>
        </w:tc>
        <w:tc>
          <w:tcPr>
            <w:tcW w:w="78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59.69</w:t>
            </w:r>
          </w:p>
        </w:tc>
        <w:tc>
          <w:tcPr>
            <w:tcW w:w="78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106.97</w:t>
            </w:r>
          </w:p>
        </w:tc>
        <w:tc>
          <w:tcPr>
            <w:tcW w:w="78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90.63</w:t>
            </w:r>
          </w:p>
        </w:tc>
        <w:tc>
          <w:tcPr>
            <w:tcW w:w="149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97.42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4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排名</w:t>
            </w:r>
          </w:p>
        </w:tc>
        <w:tc>
          <w:tcPr>
            <w:tcW w:w="78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7</w:t>
            </w:r>
          </w:p>
        </w:tc>
        <w:tc>
          <w:tcPr>
            <w:tcW w:w="78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1（并列）</w:t>
            </w:r>
          </w:p>
        </w:tc>
        <w:tc>
          <w:tcPr>
            <w:tcW w:w="78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w:t>
            </w:r>
          </w:p>
        </w:tc>
        <w:tc>
          <w:tcPr>
            <w:tcW w:w="149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w:t>
            </w:r>
          </w:p>
        </w:tc>
      </w:tr>
    </w:tbl>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2-4-4-2 2021年度国开学习网教学支持服务情况</w:t>
      </w:r>
    </w:p>
    <w:tbl>
      <w:tblPr>
        <w:tblStyle w:val="11"/>
        <w:tblW w:w="4997" w:type="pct"/>
        <w:jc w:val="center"/>
        <w:tblLayout w:type="autofit"/>
        <w:tblCellMar>
          <w:top w:w="0" w:type="dxa"/>
          <w:left w:w="0" w:type="dxa"/>
          <w:bottom w:w="0" w:type="dxa"/>
          <w:right w:w="0" w:type="dxa"/>
        </w:tblCellMar>
      </w:tblPr>
      <w:tblGrid>
        <w:gridCol w:w="1329"/>
        <w:gridCol w:w="1301"/>
        <w:gridCol w:w="1175"/>
        <w:gridCol w:w="1223"/>
        <w:gridCol w:w="1235"/>
        <w:gridCol w:w="1104"/>
        <w:gridCol w:w="1503"/>
      </w:tblGrid>
      <w:tr>
        <w:tblPrEx>
          <w:tblCellMar>
            <w:top w:w="0" w:type="dxa"/>
            <w:left w:w="0" w:type="dxa"/>
            <w:bottom w:w="0" w:type="dxa"/>
            <w:right w:w="0" w:type="dxa"/>
          </w:tblCellMar>
        </w:tblPrEx>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学期</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学生行</w:t>
            </w:r>
            <w:r>
              <w:rPr>
                <w:rFonts w:hint="eastAsia" w:ascii="仿宋" w:hAnsi="仿宋" w:eastAsia="仿宋"/>
                <w:sz w:val="28"/>
                <w:szCs w:val="28"/>
                <w:u w:val="none"/>
              </w:rPr>
              <w:br w:type="textWrapping"/>
            </w:r>
            <w:r>
              <w:rPr>
                <w:rFonts w:hint="eastAsia" w:ascii="仿宋" w:hAnsi="仿宋" w:eastAsia="仿宋"/>
                <w:sz w:val="28"/>
                <w:szCs w:val="28"/>
                <w:u w:val="none"/>
              </w:rPr>
              <w:t>为总数</w:t>
            </w:r>
          </w:p>
        </w:tc>
        <w:tc>
          <w:tcPr>
            <w:tcW w:w="6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学生在</w:t>
            </w:r>
            <w:r>
              <w:rPr>
                <w:rFonts w:hint="eastAsia" w:ascii="仿宋" w:hAnsi="仿宋" w:eastAsia="仿宋"/>
                <w:sz w:val="28"/>
                <w:szCs w:val="28"/>
                <w:u w:val="none"/>
              </w:rPr>
              <w:br w:type="textWrapping"/>
            </w:r>
            <w:r>
              <w:rPr>
                <w:rFonts w:hint="eastAsia" w:ascii="仿宋" w:hAnsi="仿宋" w:eastAsia="仿宋"/>
                <w:sz w:val="28"/>
                <w:szCs w:val="28"/>
                <w:u w:val="none"/>
              </w:rPr>
              <w:t>线天数</w:t>
            </w:r>
          </w:p>
        </w:tc>
        <w:tc>
          <w:tcPr>
            <w:tcW w:w="6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学生人均在线行为次数</w:t>
            </w:r>
          </w:p>
        </w:tc>
        <w:tc>
          <w:tcPr>
            <w:tcW w:w="6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教师行</w:t>
            </w:r>
            <w:r>
              <w:rPr>
                <w:rFonts w:hint="eastAsia" w:ascii="仿宋" w:hAnsi="仿宋" w:eastAsia="仿宋"/>
                <w:sz w:val="28"/>
                <w:szCs w:val="28"/>
                <w:u w:val="none"/>
              </w:rPr>
              <w:br w:type="textWrapping"/>
            </w:r>
            <w:r>
              <w:rPr>
                <w:rFonts w:hint="eastAsia" w:ascii="仿宋" w:hAnsi="仿宋" w:eastAsia="仿宋"/>
                <w:sz w:val="28"/>
                <w:szCs w:val="28"/>
                <w:u w:val="none"/>
              </w:rPr>
              <w:t>为总数</w:t>
            </w:r>
          </w:p>
        </w:tc>
        <w:tc>
          <w:tcPr>
            <w:tcW w:w="6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教师在</w:t>
            </w:r>
            <w:r>
              <w:rPr>
                <w:rFonts w:hint="eastAsia" w:ascii="仿宋" w:hAnsi="仿宋" w:eastAsia="仿宋"/>
                <w:sz w:val="28"/>
                <w:szCs w:val="28"/>
                <w:u w:val="none"/>
              </w:rPr>
              <w:br w:type="textWrapping"/>
            </w:r>
            <w:r>
              <w:rPr>
                <w:rFonts w:hint="eastAsia" w:ascii="仿宋" w:hAnsi="仿宋" w:eastAsia="仿宋"/>
                <w:sz w:val="28"/>
                <w:szCs w:val="28"/>
                <w:u w:val="none"/>
              </w:rPr>
              <w:t>线天数</w:t>
            </w:r>
          </w:p>
        </w:tc>
        <w:tc>
          <w:tcPr>
            <w:tcW w:w="8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教师人均在线行为次数</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春季</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2007711</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10685</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1701.45</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76640</w:t>
            </w:r>
          </w:p>
        </w:tc>
        <w:tc>
          <w:tcPr>
            <w:tcW w:w="6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1428</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2016.84</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c>
          <w:tcPr>
            <w:tcW w:w="6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秋季</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1901895</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10637</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1609.05</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68744</w:t>
            </w:r>
          </w:p>
        </w:tc>
        <w:tc>
          <w:tcPr>
            <w:tcW w:w="6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1341</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2370.48</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w:t>
            </w:r>
          </w:p>
        </w:tc>
        <w:tc>
          <w:tcPr>
            <w:tcW w:w="66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w:t>
            </w:r>
          </w:p>
        </w:tc>
        <w:tc>
          <w:tcPr>
            <w:tcW w:w="689"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8</w:t>
            </w:r>
          </w:p>
        </w:tc>
        <w:tc>
          <w:tcPr>
            <w:tcW w:w="69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c>
          <w:tcPr>
            <w:tcW w:w="84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9</w:t>
            </w:r>
          </w:p>
        </w:tc>
      </w:tr>
    </w:tbl>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 w:hAnsi="仿宋" w:eastAsia="仿宋"/>
          <w:sz w:val="28"/>
          <w:szCs w:val="28"/>
          <w:u w:val="none"/>
        </w:rPr>
      </w:pPr>
      <w:r>
        <w:rPr>
          <w:rFonts w:hint="eastAsia" w:ascii="仿宋" w:hAnsi="仿宋" w:eastAsia="仿宋"/>
          <w:sz w:val="28"/>
          <w:szCs w:val="28"/>
          <w:u w:val="none"/>
        </w:rPr>
        <w:t>表2-4-4-3 2021年度开放教育面授教学基本情况</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5"/>
        <w:gridCol w:w="2966"/>
        <w:gridCol w:w="3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0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学期</w:t>
            </w:r>
          </w:p>
        </w:tc>
        <w:tc>
          <w:tcPr>
            <w:tcW w:w="16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面授辅导课次</w:t>
            </w:r>
          </w:p>
        </w:tc>
        <w:tc>
          <w:tcPr>
            <w:tcW w:w="195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0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春季</w:t>
            </w:r>
          </w:p>
        </w:tc>
        <w:tc>
          <w:tcPr>
            <w:tcW w:w="16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18</w:t>
            </w:r>
          </w:p>
        </w:tc>
        <w:tc>
          <w:tcPr>
            <w:tcW w:w="195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0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秋季</w:t>
            </w:r>
          </w:p>
        </w:tc>
        <w:tc>
          <w:tcPr>
            <w:tcW w:w="16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w:t>
            </w:r>
          </w:p>
        </w:tc>
        <w:tc>
          <w:tcPr>
            <w:tcW w:w="195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34%</w:t>
            </w:r>
          </w:p>
        </w:tc>
      </w:tr>
    </w:tbl>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 w:hAnsi="仿宋" w:eastAsia="仿宋"/>
          <w:sz w:val="28"/>
          <w:szCs w:val="28"/>
          <w:u w:val="none"/>
        </w:rPr>
      </w:pPr>
      <w:r>
        <w:rPr>
          <w:rFonts w:hint="eastAsia" w:ascii="仿宋" w:hAnsi="仿宋" w:eastAsia="仿宋"/>
          <w:sz w:val="28"/>
          <w:szCs w:val="28"/>
          <w:u w:val="none"/>
        </w:rPr>
        <w:t>表2-4-4-4 2021年度开放教育实践教学情况</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2985"/>
        <w:gridCol w:w="2198"/>
        <w:gridCol w:w="2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学期</w:t>
            </w:r>
          </w:p>
        </w:tc>
        <w:tc>
          <w:tcPr>
            <w:tcW w:w="164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实践基地新增数量</w:t>
            </w:r>
          </w:p>
        </w:tc>
        <w:tc>
          <w:tcPr>
            <w:tcW w:w="12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实践基地总数</w:t>
            </w:r>
          </w:p>
        </w:tc>
        <w:tc>
          <w:tcPr>
            <w:tcW w:w="157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春季</w:t>
            </w:r>
          </w:p>
        </w:tc>
        <w:tc>
          <w:tcPr>
            <w:tcW w:w="164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0</w:t>
            </w:r>
          </w:p>
        </w:tc>
        <w:tc>
          <w:tcPr>
            <w:tcW w:w="12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w:t>
            </w:r>
          </w:p>
        </w:tc>
        <w:tc>
          <w:tcPr>
            <w:tcW w:w="157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秋季</w:t>
            </w:r>
          </w:p>
        </w:tc>
        <w:tc>
          <w:tcPr>
            <w:tcW w:w="164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0</w:t>
            </w:r>
          </w:p>
        </w:tc>
        <w:tc>
          <w:tcPr>
            <w:tcW w:w="12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w:t>
            </w:r>
          </w:p>
        </w:tc>
        <w:tc>
          <w:tcPr>
            <w:tcW w:w="157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38</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5.考试组织情况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lang w:val="en-US" w:eastAsia="zh-CN"/>
        </w:rPr>
        <w:t>按照</w:t>
      </w:r>
      <w:r>
        <w:rPr>
          <w:rFonts w:hint="eastAsia" w:ascii="仿宋" w:hAnsi="仿宋" w:eastAsia="仿宋"/>
          <w:b w:val="0"/>
          <w:bCs/>
          <w:sz w:val="32"/>
          <w:szCs w:val="32"/>
          <w:u w:val="none"/>
        </w:rPr>
        <w:t>国家开放大学的统一部署，进一步强化责任意识、规范意识、风险意识，严格</w:t>
      </w:r>
      <w:r>
        <w:rPr>
          <w:rFonts w:hint="eastAsia" w:ascii="仿宋" w:hAnsi="仿宋" w:eastAsia="仿宋"/>
          <w:b w:val="0"/>
          <w:bCs/>
          <w:sz w:val="32"/>
          <w:szCs w:val="32"/>
          <w:u w:val="none"/>
          <w:lang w:val="en-US" w:eastAsia="zh-CN"/>
        </w:rPr>
        <w:t>对</w:t>
      </w:r>
      <w:r>
        <w:rPr>
          <w:rFonts w:hint="eastAsia" w:ascii="仿宋" w:hAnsi="仿宋" w:eastAsia="仿宋"/>
          <w:b w:val="0"/>
          <w:bCs/>
          <w:sz w:val="32"/>
          <w:szCs w:val="32"/>
          <w:u w:val="none"/>
        </w:rPr>
        <w:t>照各项规章制度规范考试工作。一是学校统一思想、提高认识，加强考试管理，积极营造良好的考风考纪氛围，结合学校实际创造良好的考试环境。二是加大考风考纪的教育宣传和动员，组织全体学生学习考试有关规章制度，通过学校网页、班级QQ、微信群等对学生进行深刻考风考纪教育，教育学生诚信对待考试，提高学生遵守考试纪律的自觉性。三是加大技防设备投入，严把考生入场关</w:t>
      </w:r>
      <w:r>
        <w:rPr>
          <w:rFonts w:hint="eastAsia" w:ascii="仿宋" w:hAnsi="仿宋" w:eastAsia="仿宋"/>
          <w:b w:val="0"/>
          <w:bCs/>
          <w:sz w:val="32"/>
          <w:szCs w:val="32"/>
          <w:u w:val="none"/>
          <w:lang w:eastAsia="zh-CN"/>
        </w:rPr>
        <w:t>，</w:t>
      </w:r>
      <w:r>
        <w:rPr>
          <w:rFonts w:hint="eastAsia" w:ascii="仿宋" w:hAnsi="仿宋" w:eastAsia="仿宋"/>
          <w:b w:val="0"/>
          <w:bCs/>
          <w:sz w:val="32"/>
          <w:szCs w:val="32"/>
          <w:u w:val="none"/>
        </w:rPr>
        <w:t>有效防控替考行为。四是加大自查力度，督促监考教师履行监考职责，维护考试秩序，严格执行《江西开放大学监</w:t>
      </w:r>
      <w:r>
        <w:rPr>
          <w:rFonts w:hint="eastAsia" w:ascii="仿宋" w:hAnsi="仿宋" w:eastAsia="仿宋"/>
          <w:b w:val="0"/>
          <w:bCs/>
          <w:sz w:val="32"/>
          <w:szCs w:val="32"/>
          <w:u w:val="none"/>
          <w:lang w:eastAsia="zh-CN"/>
        </w:rPr>
        <w:t>（</w:t>
      </w:r>
      <w:r>
        <w:rPr>
          <w:rFonts w:hint="eastAsia" w:ascii="仿宋" w:hAnsi="仿宋" w:eastAsia="仿宋"/>
          <w:b w:val="0"/>
          <w:bCs/>
          <w:sz w:val="32"/>
          <w:szCs w:val="32"/>
          <w:u w:val="none"/>
        </w:rPr>
        <w:t>巡</w:t>
      </w:r>
      <w:r>
        <w:rPr>
          <w:rFonts w:hint="eastAsia" w:ascii="仿宋" w:hAnsi="仿宋" w:eastAsia="仿宋"/>
          <w:b w:val="0"/>
          <w:bCs/>
          <w:sz w:val="32"/>
          <w:szCs w:val="32"/>
          <w:u w:val="none"/>
          <w:lang w:eastAsia="zh-CN"/>
        </w:rPr>
        <w:t>）</w:t>
      </w:r>
      <w:r>
        <w:rPr>
          <w:rFonts w:hint="eastAsia" w:ascii="仿宋" w:hAnsi="仿宋" w:eastAsia="仿宋"/>
          <w:b w:val="0"/>
          <w:bCs/>
          <w:sz w:val="32"/>
          <w:szCs w:val="32"/>
          <w:u w:val="none"/>
        </w:rPr>
        <w:t>考人员管理办法》等规章制度</w:t>
      </w:r>
      <w:r>
        <w:rPr>
          <w:rFonts w:hint="eastAsia" w:ascii="仿宋" w:hAnsi="仿宋" w:eastAsia="仿宋"/>
          <w:b w:val="0"/>
          <w:bCs/>
          <w:sz w:val="32"/>
          <w:szCs w:val="32"/>
          <w:u w:val="none"/>
          <w:lang w:eastAsia="zh-CN"/>
        </w:rPr>
        <w:t>，</w:t>
      </w:r>
      <w:r>
        <w:rPr>
          <w:rFonts w:hint="eastAsia" w:ascii="仿宋" w:hAnsi="仿宋" w:eastAsia="仿宋"/>
          <w:b w:val="0"/>
          <w:bCs/>
          <w:sz w:val="32"/>
          <w:szCs w:val="32"/>
          <w:u w:val="none"/>
        </w:rPr>
        <w:t>考点与监考老师及相关组考人员签订考试责任状。五是参加省</w:t>
      </w:r>
      <w:r>
        <w:rPr>
          <w:rFonts w:hint="eastAsia" w:ascii="仿宋" w:hAnsi="仿宋" w:eastAsia="仿宋"/>
          <w:b w:val="0"/>
          <w:bCs/>
          <w:sz w:val="32"/>
          <w:szCs w:val="32"/>
          <w:u w:val="none"/>
          <w:lang w:val="en-US" w:eastAsia="zh-CN"/>
        </w:rPr>
        <w:t>校</w:t>
      </w:r>
      <w:r>
        <w:rPr>
          <w:rFonts w:hint="eastAsia" w:ascii="仿宋" w:hAnsi="仿宋" w:eastAsia="仿宋"/>
          <w:b w:val="0"/>
          <w:bCs/>
          <w:sz w:val="32"/>
          <w:szCs w:val="32"/>
          <w:u w:val="none"/>
        </w:rPr>
        <w:t>组织的考点主考集中培训</w:t>
      </w:r>
      <w:r>
        <w:rPr>
          <w:rFonts w:hint="eastAsia" w:ascii="仿宋" w:hAnsi="仿宋" w:eastAsia="仿宋"/>
          <w:b w:val="0"/>
          <w:bCs/>
          <w:sz w:val="32"/>
          <w:szCs w:val="32"/>
          <w:u w:val="none"/>
          <w:lang w:eastAsia="zh-CN"/>
        </w:rPr>
        <w:t>，</w:t>
      </w:r>
      <w:r>
        <w:rPr>
          <w:rFonts w:hint="eastAsia" w:ascii="仿宋" w:hAnsi="仿宋" w:eastAsia="仿宋"/>
          <w:b w:val="0"/>
          <w:bCs/>
          <w:sz w:val="32"/>
          <w:szCs w:val="32"/>
          <w:u w:val="none"/>
        </w:rPr>
        <w:t>强化考试重要性的认识，市</w:t>
      </w:r>
      <w:r>
        <w:rPr>
          <w:rFonts w:hint="eastAsia" w:ascii="仿宋" w:hAnsi="仿宋" w:eastAsia="仿宋"/>
          <w:b w:val="0"/>
          <w:bCs/>
          <w:sz w:val="32"/>
          <w:szCs w:val="32"/>
          <w:u w:val="none"/>
          <w:lang w:val="en-US" w:eastAsia="zh-CN"/>
        </w:rPr>
        <w:t>校</w:t>
      </w:r>
      <w:r>
        <w:rPr>
          <w:rFonts w:hint="eastAsia" w:ascii="仿宋" w:hAnsi="仿宋" w:eastAsia="仿宋"/>
          <w:b w:val="0"/>
          <w:bCs/>
          <w:sz w:val="32"/>
          <w:szCs w:val="32"/>
          <w:u w:val="none"/>
        </w:rPr>
        <w:t>按省校培训要求，每学年至少组织1次考务培训工作。六是加强巡考制度，加大学校领导的巡考力度和频度，派出由校领导带队的巡考工作组，各考点每天考试结束后，立即将每天考试情况报送</w:t>
      </w:r>
      <w:r>
        <w:rPr>
          <w:rFonts w:hint="eastAsia" w:ascii="仿宋" w:hAnsi="仿宋" w:eastAsia="仿宋"/>
          <w:b w:val="0"/>
          <w:bCs/>
          <w:sz w:val="32"/>
          <w:szCs w:val="32"/>
          <w:u w:val="none"/>
          <w:lang w:val="en-US" w:eastAsia="zh-CN"/>
        </w:rPr>
        <w:t>市</w:t>
      </w:r>
      <w:r>
        <w:rPr>
          <w:rFonts w:hint="eastAsia" w:ascii="仿宋" w:hAnsi="仿宋" w:eastAsia="仿宋"/>
          <w:b w:val="0"/>
          <w:bCs/>
          <w:sz w:val="32"/>
          <w:szCs w:val="32"/>
          <w:u w:val="none"/>
        </w:rPr>
        <w:t>校考务科。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省校飞巡组巡考对景德镇</w:t>
      </w:r>
      <w:r>
        <w:rPr>
          <w:rFonts w:hint="eastAsia" w:ascii="仿宋" w:hAnsi="仿宋" w:eastAsia="仿宋"/>
          <w:b w:val="0"/>
          <w:bCs/>
          <w:sz w:val="32"/>
          <w:szCs w:val="32"/>
          <w:u w:val="none"/>
          <w:lang w:val="en-US" w:eastAsia="zh-CN"/>
        </w:rPr>
        <w:t>开大</w:t>
      </w:r>
      <w:r>
        <w:rPr>
          <w:rFonts w:hint="eastAsia" w:ascii="仿宋" w:hAnsi="仿宋" w:eastAsia="仿宋"/>
          <w:b w:val="0"/>
          <w:bCs/>
          <w:sz w:val="32"/>
          <w:szCs w:val="32"/>
          <w:u w:val="none"/>
        </w:rPr>
        <w:t>校本部2021年春、秋季考试工作进行检查，情况良好。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表2-4-5 2021年度开放教育考试情况</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1792"/>
        <w:gridCol w:w="1957"/>
        <w:gridCol w:w="1951"/>
        <w:gridCol w:w="1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8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学期</w:t>
            </w: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实考人数</w:t>
            </w:r>
          </w:p>
        </w:tc>
        <w:tc>
          <w:tcPr>
            <w:tcW w:w="1080"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实考率</w:t>
            </w:r>
          </w:p>
        </w:tc>
        <w:tc>
          <w:tcPr>
            <w:tcW w:w="107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合格人数</w:t>
            </w:r>
          </w:p>
        </w:tc>
        <w:tc>
          <w:tcPr>
            <w:tcW w:w="107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8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春季</w:t>
            </w: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7522</w:t>
            </w:r>
          </w:p>
        </w:tc>
        <w:tc>
          <w:tcPr>
            <w:tcW w:w="1080"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92.45%</w:t>
            </w:r>
          </w:p>
        </w:tc>
        <w:tc>
          <w:tcPr>
            <w:tcW w:w="107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6624</w:t>
            </w:r>
          </w:p>
        </w:tc>
        <w:tc>
          <w:tcPr>
            <w:tcW w:w="107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88.06%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8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秋季</w:t>
            </w: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6719</w:t>
            </w:r>
          </w:p>
        </w:tc>
        <w:tc>
          <w:tcPr>
            <w:tcW w:w="1080"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91.28%</w:t>
            </w:r>
          </w:p>
        </w:tc>
        <w:tc>
          <w:tcPr>
            <w:tcW w:w="107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5958</w:t>
            </w:r>
          </w:p>
        </w:tc>
        <w:tc>
          <w:tcPr>
            <w:tcW w:w="107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88.67%</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6.教学检查结果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b w:val="0"/>
          <w:bCs/>
          <w:sz w:val="32"/>
          <w:szCs w:val="32"/>
          <w:u w:val="none"/>
          <w:lang w:eastAsia="zh-CN"/>
        </w:rPr>
      </w:pPr>
      <w:r>
        <w:rPr>
          <w:rFonts w:hint="eastAsia" w:ascii="仿宋" w:hAnsi="仿宋" w:eastAsia="仿宋"/>
          <w:b w:val="0"/>
          <w:bCs/>
          <w:sz w:val="32"/>
          <w:szCs w:val="32"/>
          <w:u w:val="none"/>
        </w:rPr>
        <w:t>省校综合教学检查的反馈意见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①亮点：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第一，高度重视迎检工作，对2020年发现的问题进行了认真有效的整改。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第二，高度重视教材征订工作。为提高教材征订率，采取了每学期预收教材费用的方式，以保证学生学有教材。</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②建议：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第一，强化师资队伍建设。优化教师的学历结构和知识结构，组织开展专题培训讲座、教师技能大赛等系列活动，持续提升师资队伍服务教学的能力。</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第二，提升学习支持服务能力。统筹安排线上、线下教学工作，一方面加强面授辅导环节的管理，另一方面加强对学生的思想政治教育，并根据成人特征采用科学有效的教学方法，调动学生学习的主动性和积极性。</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楷体" w:hAnsi="楷体" w:eastAsia="楷体" w:cs="楷体"/>
          <w:b w:val="0"/>
          <w:bCs w:val="0"/>
          <w:sz w:val="32"/>
          <w:szCs w:val="32"/>
          <w:u w:val="none"/>
        </w:rPr>
      </w:pPr>
      <w:r>
        <w:rPr>
          <w:rFonts w:hint="eastAsia" w:ascii="楷体" w:hAnsi="楷体" w:eastAsia="楷体" w:cs="楷体"/>
          <w:b w:val="0"/>
          <w:bCs w:val="0"/>
          <w:sz w:val="32"/>
          <w:szCs w:val="32"/>
          <w:u w:val="none"/>
        </w:rPr>
        <w:t>（五）思政教育和学生工作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2021年是中国共产党成立100周年，是“十四五”规划开局之年和开启全面建设中国特色社会主义现代化国家新征程的第一年，作为思想政治工作的主阵地，学校一直围绕立德树人根本任务，扭住“举旗帜、聚民心、育新人、兴文化、展形象”的使命任务，加强思想政治教育阵地构建，在全体师生中，扎实开展了“赣鄱学子心向党”</w:t>
      </w:r>
      <w:r>
        <w:rPr>
          <w:rFonts w:hint="eastAsia" w:ascii="仿宋" w:hAnsi="仿宋" w:eastAsia="仿宋"/>
          <w:sz w:val="32"/>
          <w:szCs w:val="32"/>
          <w:u w:val="none"/>
          <w:lang w:eastAsia="zh-CN"/>
        </w:rPr>
        <w:t>、</w:t>
      </w:r>
      <w:r>
        <w:rPr>
          <w:rFonts w:hint="eastAsia" w:ascii="仿宋" w:hAnsi="仿宋" w:eastAsia="仿宋"/>
          <w:sz w:val="32"/>
          <w:szCs w:val="32"/>
          <w:u w:val="none"/>
        </w:rPr>
        <w:t>“点亮‘4·15’共同维护国家安全”融媒体宣传周</w:t>
      </w:r>
      <w:r>
        <w:rPr>
          <w:rFonts w:hint="eastAsia" w:ascii="仿宋" w:hAnsi="仿宋" w:eastAsia="仿宋"/>
          <w:sz w:val="32"/>
          <w:szCs w:val="32"/>
          <w:u w:val="none"/>
          <w:lang w:eastAsia="zh-CN"/>
        </w:rPr>
        <w:t>、</w:t>
      </w:r>
      <w:r>
        <w:rPr>
          <w:rFonts w:hint="eastAsia" w:ascii="仿宋" w:hAnsi="仿宋" w:eastAsia="仿宋"/>
          <w:sz w:val="32"/>
          <w:szCs w:val="32"/>
          <w:u w:val="none"/>
        </w:rPr>
        <w:t>“同上‘四史’思政大课”</w:t>
      </w:r>
      <w:r>
        <w:rPr>
          <w:rFonts w:hint="eastAsia" w:ascii="仿宋" w:hAnsi="仿宋" w:eastAsia="仿宋"/>
          <w:sz w:val="32"/>
          <w:szCs w:val="32"/>
          <w:u w:val="none"/>
          <w:lang w:eastAsia="zh-CN"/>
        </w:rPr>
        <w:t>、</w:t>
      </w:r>
      <w:r>
        <w:rPr>
          <w:rFonts w:hint="eastAsia" w:ascii="仿宋" w:hAnsi="仿宋" w:eastAsia="仿宋"/>
          <w:sz w:val="32"/>
          <w:szCs w:val="32"/>
          <w:u w:val="none"/>
        </w:rPr>
        <w:t>“讲党史故事 做奋进青年”国家开放大学办学体系党史学习教育青年大联学等一系列思想政治教育和新时代爱国主义教育活动。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在学生工作中，按国家开放大学和</w:t>
      </w:r>
      <w:r>
        <w:rPr>
          <w:rFonts w:hint="eastAsia" w:ascii="仿宋" w:hAnsi="仿宋" w:eastAsia="仿宋"/>
          <w:sz w:val="32"/>
          <w:szCs w:val="32"/>
          <w:u w:val="none"/>
          <w:lang w:val="en-US" w:eastAsia="zh-CN"/>
        </w:rPr>
        <w:t>省校</w:t>
      </w:r>
      <w:r>
        <w:rPr>
          <w:rFonts w:hint="eastAsia" w:ascii="仿宋" w:hAnsi="仿宋" w:eastAsia="仿宋"/>
          <w:sz w:val="32"/>
          <w:szCs w:val="32"/>
          <w:u w:val="none"/>
        </w:rPr>
        <w:t>学生工作要求，积极开展校友信息征集工作</w:t>
      </w:r>
      <w:r>
        <w:rPr>
          <w:rFonts w:hint="eastAsia" w:ascii="仿宋" w:hAnsi="仿宋" w:eastAsia="仿宋"/>
          <w:sz w:val="32"/>
          <w:szCs w:val="32"/>
          <w:u w:val="none"/>
          <w:lang w:val="en-US" w:eastAsia="zh-CN"/>
        </w:rPr>
        <w:t>和</w:t>
      </w:r>
      <w:r>
        <w:rPr>
          <w:rFonts w:hint="eastAsia" w:ascii="仿宋" w:hAnsi="仿宋" w:eastAsia="仿宋"/>
          <w:sz w:val="32"/>
          <w:szCs w:val="32"/>
          <w:u w:val="none"/>
        </w:rPr>
        <w:t>国家开放大学优秀毕业生、2021届“一村一名大学生工程”优秀毕业生、江西开放大学开放教育优秀学员评选推荐工作</w:t>
      </w:r>
      <w:r>
        <w:rPr>
          <w:rFonts w:hint="eastAsia" w:ascii="仿宋" w:hAnsi="仿宋" w:eastAsia="仿宋"/>
          <w:sz w:val="32"/>
          <w:szCs w:val="32"/>
          <w:u w:val="none"/>
          <w:lang w:eastAsia="zh-CN"/>
        </w:rPr>
        <w:t>，</w:t>
      </w:r>
      <w:r>
        <w:rPr>
          <w:rFonts w:hint="eastAsia" w:ascii="仿宋" w:hAnsi="仿宋" w:eastAsia="仿宋"/>
          <w:sz w:val="32"/>
          <w:szCs w:val="32"/>
          <w:u w:val="none"/>
        </w:rPr>
        <w:t>组织开展国家开放大学奖学金候选人评选与奖学金下发工作</w:t>
      </w:r>
      <w:r>
        <w:rPr>
          <w:rFonts w:hint="eastAsia" w:ascii="仿宋" w:hAnsi="仿宋" w:eastAsia="仿宋"/>
          <w:sz w:val="32"/>
          <w:szCs w:val="32"/>
          <w:u w:val="none"/>
          <w:lang w:eastAsia="zh-CN"/>
        </w:rPr>
        <w:t>，</w:t>
      </w:r>
      <w:r>
        <w:rPr>
          <w:rFonts w:hint="eastAsia" w:ascii="仿宋" w:hAnsi="仿宋" w:eastAsia="仿宋"/>
          <w:sz w:val="32"/>
          <w:szCs w:val="32"/>
          <w:u w:val="none"/>
        </w:rPr>
        <w:t>学生评优工作的开展极大增强了学生的学习积极性。</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2021年度学校思政教育与学生工作成果喜人。其中20秋学前教育本科专业的吴丽君同学讲述的红色故事《盐娘》获得省校“讲述党史故事”比赛三等奖，</w:t>
      </w:r>
      <w:r>
        <w:rPr>
          <w:rFonts w:hint="eastAsia" w:ascii="仿宋" w:hAnsi="仿宋" w:eastAsia="仿宋"/>
          <w:sz w:val="32"/>
          <w:szCs w:val="32"/>
          <w:u w:val="none"/>
          <w:lang w:val="en-US" w:eastAsia="zh-CN"/>
        </w:rPr>
        <w:t>学</w:t>
      </w:r>
      <w:r>
        <w:rPr>
          <w:rFonts w:hint="eastAsia" w:ascii="仿宋" w:hAnsi="仿宋" w:eastAsia="仿宋"/>
          <w:sz w:val="32"/>
          <w:szCs w:val="32"/>
          <w:u w:val="none"/>
        </w:rPr>
        <w:t>校教师与学生合唱的红色歌曲《团结就是力量》在省校“红歌接力唱响祝福”的评比中获得二等奖，景德镇开放大学“赣鄱学子心向党”系列活动的组织开展也获得了优秀组织奖的荣誉。何志勇同学荣获“江西开放大学杰出校友”称号、5位同学获得2021年度江西开放大学“优秀学员”称号、6位同学获得2021届“一村一名大学生工程”优秀毕业生称号、1位同学获得国家开放大学2021年度优秀毕业生评选资格、9位同学获得国家开放大学奖学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三、办学条件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楷体" w:hAnsi="楷体" w:eastAsia="楷体" w:cs="楷体"/>
          <w:b w:val="0"/>
          <w:bCs w:val="0"/>
          <w:sz w:val="32"/>
          <w:szCs w:val="32"/>
          <w:u w:val="none"/>
        </w:rPr>
      </w:pPr>
      <w:r>
        <w:rPr>
          <w:rFonts w:hint="eastAsia" w:ascii="楷体" w:hAnsi="楷体" w:eastAsia="楷体" w:cs="楷体"/>
          <w:b w:val="0"/>
          <w:bCs w:val="0"/>
          <w:sz w:val="32"/>
          <w:szCs w:val="32"/>
          <w:u w:val="none"/>
        </w:rPr>
        <w:t>（一）办学场地与设施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1.办学场地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2021年下半年学校校址由市政府收回，学校搬迁回浮梁县景德镇学院校本部，学校正积极争取在二期校园规划中建设继续教育学院大楼。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sz w:val="32"/>
          <w:szCs w:val="32"/>
          <w:u w:val="none"/>
        </w:rPr>
      </w:pPr>
      <w:r>
        <w:rPr>
          <w:rFonts w:hint="eastAsia" w:ascii="仿宋" w:hAnsi="仿宋" w:eastAsia="仿宋"/>
          <w:b w:val="0"/>
          <w:bCs/>
          <w:sz w:val="32"/>
          <w:szCs w:val="32"/>
          <w:u w:val="none"/>
        </w:rPr>
        <w:t>2.实践基地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b w:val="0"/>
          <w:bCs/>
          <w:sz w:val="32"/>
          <w:szCs w:val="32"/>
          <w:u w:val="none"/>
        </w:rPr>
        <w:t>学校现有两个实践基地，浮梁县瑶里镇郑家山瑶眉茶叶专业合作社和乐平市万创乡村大学生电子商务有限公司。</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hint="eastAsia" w:ascii="仿宋" w:hAnsi="仿宋" w:eastAsia="仿宋"/>
          <w:sz w:val="28"/>
          <w:szCs w:val="28"/>
          <w:u w:val="none"/>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hint="eastAsia" w:ascii="仿宋" w:hAnsi="仿宋" w:eastAsia="仿宋"/>
          <w:sz w:val="28"/>
          <w:szCs w:val="28"/>
          <w:u w:val="none"/>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hint="eastAsia" w:ascii="仿宋" w:hAnsi="仿宋" w:eastAsia="仿宋"/>
          <w:sz w:val="28"/>
          <w:szCs w:val="28"/>
          <w:u w:val="none"/>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表3-1 2021年度办学场地与设施</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937"/>
        <w:gridCol w:w="1073"/>
        <w:gridCol w:w="939"/>
        <w:gridCol w:w="1109"/>
        <w:gridCol w:w="915"/>
        <w:gridCol w:w="1035"/>
        <w:gridCol w:w="794"/>
        <w:gridCol w:w="1232"/>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40" w:hRule="atLeast"/>
          <w:jc w:val="center"/>
        </w:trPr>
        <w:tc>
          <w:tcPr>
            <w:tcW w:w="51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p>
        </w:tc>
        <w:tc>
          <w:tcPr>
            <w:tcW w:w="59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办学场地面积（亩）</w:t>
            </w:r>
          </w:p>
        </w:tc>
        <w:tc>
          <w:tcPr>
            <w:tcW w:w="51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办学用房面积（平方米）</w:t>
            </w:r>
          </w:p>
        </w:tc>
        <w:tc>
          <w:tcPr>
            <w:tcW w:w="61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办学用房生均面积（平方米）</w:t>
            </w:r>
          </w:p>
        </w:tc>
        <w:tc>
          <w:tcPr>
            <w:tcW w:w="50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能容纳30人的教室间数</w:t>
            </w:r>
          </w:p>
        </w:tc>
        <w:tc>
          <w:tcPr>
            <w:tcW w:w="57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在籍生数与教室数比（%）</w:t>
            </w:r>
          </w:p>
        </w:tc>
        <w:tc>
          <w:tcPr>
            <w:tcW w:w="43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计算机台数</w:t>
            </w:r>
          </w:p>
        </w:tc>
        <w:tc>
          <w:tcPr>
            <w:tcW w:w="67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在籍生数与计算机数比（%）</w:t>
            </w:r>
          </w:p>
        </w:tc>
        <w:tc>
          <w:tcPr>
            <w:tcW w:w="56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校本部</w:t>
            </w:r>
          </w:p>
        </w:tc>
        <w:tc>
          <w:tcPr>
            <w:tcW w:w="59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w:t>
            </w:r>
          </w:p>
        </w:tc>
        <w:tc>
          <w:tcPr>
            <w:tcW w:w="51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1000</w:t>
            </w:r>
          </w:p>
        </w:tc>
        <w:tc>
          <w:tcPr>
            <w:tcW w:w="61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0.85</w:t>
            </w:r>
          </w:p>
        </w:tc>
        <w:tc>
          <w:tcPr>
            <w:tcW w:w="50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c>
          <w:tcPr>
            <w:tcW w:w="57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117:1</w:t>
            </w:r>
          </w:p>
        </w:tc>
        <w:tc>
          <w:tcPr>
            <w:tcW w:w="43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100</w:t>
            </w:r>
          </w:p>
        </w:tc>
        <w:tc>
          <w:tcPr>
            <w:tcW w:w="67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11.7:1</w:t>
            </w:r>
          </w:p>
        </w:tc>
        <w:tc>
          <w:tcPr>
            <w:tcW w:w="56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全省排名</w:t>
            </w:r>
          </w:p>
        </w:tc>
        <w:tc>
          <w:tcPr>
            <w:tcW w:w="59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sz w:val="28"/>
                <w:szCs w:val="28"/>
                <w:u w:val="none"/>
                <w:lang w:val="en-US" w:eastAsia="zh-CN"/>
              </w:rPr>
            </w:pPr>
            <w:r>
              <w:rPr>
                <w:rFonts w:hint="eastAsia" w:ascii="仿宋" w:hAnsi="仿宋" w:eastAsia="仿宋"/>
                <w:sz w:val="28"/>
                <w:szCs w:val="28"/>
                <w:u w:val="none"/>
                <w:lang w:val="en-US" w:eastAsia="zh-CN"/>
              </w:rPr>
              <w:t>11</w:t>
            </w:r>
          </w:p>
        </w:tc>
        <w:tc>
          <w:tcPr>
            <w:tcW w:w="51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sz w:val="28"/>
                <w:szCs w:val="28"/>
                <w:u w:val="none"/>
                <w:lang w:val="en-US" w:eastAsia="zh-CN"/>
              </w:rPr>
            </w:pPr>
            <w:r>
              <w:rPr>
                <w:rFonts w:hint="eastAsia" w:ascii="仿宋" w:hAnsi="仿宋" w:eastAsia="仿宋"/>
                <w:sz w:val="28"/>
                <w:szCs w:val="28"/>
                <w:u w:val="none"/>
                <w:lang w:val="en-US" w:eastAsia="zh-CN"/>
              </w:rPr>
              <w:t>11</w:t>
            </w:r>
          </w:p>
        </w:tc>
        <w:tc>
          <w:tcPr>
            <w:tcW w:w="61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sz w:val="28"/>
                <w:szCs w:val="28"/>
                <w:u w:val="none"/>
                <w:lang w:val="en-US" w:eastAsia="zh-CN"/>
              </w:rPr>
            </w:pPr>
            <w:r>
              <w:rPr>
                <w:rFonts w:hint="eastAsia" w:ascii="仿宋" w:hAnsi="仿宋" w:eastAsia="仿宋"/>
                <w:sz w:val="28"/>
                <w:szCs w:val="28"/>
                <w:u w:val="none"/>
                <w:lang w:val="en-US" w:eastAsia="zh-CN"/>
              </w:rPr>
              <w:t>10</w:t>
            </w:r>
          </w:p>
        </w:tc>
        <w:tc>
          <w:tcPr>
            <w:tcW w:w="50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sz w:val="28"/>
                <w:szCs w:val="28"/>
                <w:u w:val="none"/>
                <w:lang w:val="en-US" w:eastAsia="zh-CN"/>
              </w:rPr>
            </w:pPr>
            <w:r>
              <w:rPr>
                <w:rFonts w:hint="eastAsia" w:ascii="仿宋" w:hAnsi="仿宋" w:eastAsia="仿宋"/>
                <w:sz w:val="28"/>
                <w:szCs w:val="28"/>
                <w:u w:val="none"/>
                <w:lang w:val="en-US" w:eastAsia="zh-CN"/>
              </w:rPr>
              <w:t>11</w:t>
            </w:r>
          </w:p>
        </w:tc>
        <w:tc>
          <w:tcPr>
            <w:tcW w:w="57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sz w:val="28"/>
                <w:szCs w:val="28"/>
                <w:u w:val="none"/>
                <w:lang w:eastAsia="zh-CN"/>
              </w:rPr>
            </w:pPr>
            <w:r>
              <w:rPr>
                <w:rFonts w:hint="eastAsia" w:ascii="仿宋" w:hAnsi="仿宋" w:eastAsia="仿宋"/>
                <w:sz w:val="28"/>
                <w:szCs w:val="28"/>
                <w:u w:val="none"/>
                <w:lang w:val="en-US" w:eastAsia="zh-CN"/>
              </w:rPr>
              <w:t>8</w:t>
            </w:r>
          </w:p>
        </w:tc>
        <w:tc>
          <w:tcPr>
            <w:tcW w:w="43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c>
          <w:tcPr>
            <w:tcW w:w="679"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w:t>
            </w:r>
          </w:p>
        </w:tc>
        <w:tc>
          <w:tcPr>
            <w:tcW w:w="56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楷体" w:hAnsi="楷体" w:eastAsia="楷体" w:cs="楷体"/>
          <w:b w:val="0"/>
          <w:bCs w:val="0"/>
          <w:sz w:val="32"/>
          <w:szCs w:val="32"/>
          <w:u w:val="none"/>
        </w:rPr>
      </w:pPr>
      <w:r>
        <w:rPr>
          <w:rFonts w:hint="eastAsia" w:ascii="楷体" w:hAnsi="楷体" w:eastAsia="楷体" w:cs="楷体"/>
          <w:b w:val="0"/>
          <w:bCs w:val="0"/>
          <w:sz w:val="32"/>
          <w:szCs w:val="32"/>
          <w:u w:val="none"/>
        </w:rPr>
        <w:t>（二）师资队伍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现有77名教师，开放教育生师比为17.73：1。其中，37名专职教师（副高级以上职称教师20名，中级职称教师12名，硕士研究生0名）；聘任兼职教师40名。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rPr>
        <w:t>教学团队建设情况。学校成立思想政治理论课程网上教学团队，开展网上教学、对学生进行专题讲座、答疑解难和考核评价等；组织老师参加省校7门课程的网络教学团队，进一步推进教学服务，落实教学过程。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表3-2 2021年度教师情况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校内教师数量与结构</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1150"/>
        <w:gridCol w:w="866"/>
        <w:gridCol w:w="879"/>
        <w:gridCol w:w="879"/>
        <w:gridCol w:w="879"/>
        <w:gridCol w:w="884"/>
        <w:gridCol w:w="732"/>
        <w:gridCol w:w="585"/>
        <w:gridCol w:w="732"/>
        <w:gridCol w:w="732"/>
        <w:gridCol w:w="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40" w:hRule="atLeast"/>
        </w:trPr>
        <w:tc>
          <w:tcPr>
            <w:tcW w:w="635" w:type="pct"/>
            <w:vMerge w:val="restar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单位</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名称</w:t>
            </w:r>
          </w:p>
        </w:tc>
        <w:tc>
          <w:tcPr>
            <w:tcW w:w="478" w:type="pct"/>
            <w:vMerge w:val="restar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在职教师人数</w:t>
            </w:r>
          </w:p>
        </w:tc>
        <w:tc>
          <w:tcPr>
            <w:tcW w:w="1943" w:type="pct"/>
            <w:gridSpan w:val="4"/>
            <w:shd w:val="clear" w:color="auto" w:fill="FFFFFF" w:themeFill="background1"/>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职称情况</w:t>
            </w:r>
          </w:p>
        </w:tc>
        <w:tc>
          <w:tcPr>
            <w:tcW w:w="1943" w:type="pct"/>
            <w:gridSpan w:val="5"/>
            <w:shd w:val="clear" w:color="auto" w:fill="FFFFFF" w:themeFill="background1"/>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35" w:type="pct"/>
            <w:vMerge w:val="continue"/>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p>
        </w:tc>
        <w:tc>
          <w:tcPr>
            <w:tcW w:w="478" w:type="pct"/>
            <w:vMerge w:val="continue"/>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p>
        </w:tc>
        <w:tc>
          <w:tcPr>
            <w:tcW w:w="48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正高职称人数</w:t>
            </w:r>
          </w:p>
        </w:tc>
        <w:tc>
          <w:tcPr>
            <w:tcW w:w="48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副高职称人数</w:t>
            </w:r>
          </w:p>
        </w:tc>
        <w:tc>
          <w:tcPr>
            <w:tcW w:w="48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中级职称人数</w:t>
            </w:r>
          </w:p>
        </w:tc>
        <w:tc>
          <w:tcPr>
            <w:tcW w:w="486"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中级以下职称人数</w:t>
            </w:r>
          </w:p>
        </w:tc>
        <w:tc>
          <w:tcPr>
            <w:tcW w:w="40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博士生人数</w:t>
            </w:r>
          </w:p>
        </w:tc>
        <w:tc>
          <w:tcPr>
            <w:tcW w:w="323"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硕士生人数</w:t>
            </w:r>
          </w:p>
        </w:tc>
        <w:tc>
          <w:tcPr>
            <w:tcW w:w="40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本科人数</w:t>
            </w:r>
          </w:p>
        </w:tc>
        <w:tc>
          <w:tcPr>
            <w:tcW w:w="40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大专人数</w:t>
            </w:r>
          </w:p>
        </w:tc>
        <w:tc>
          <w:tcPr>
            <w:tcW w:w="406"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大专以下人数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40" w:hRule="atLeast"/>
        </w:trPr>
        <w:tc>
          <w:tcPr>
            <w:tcW w:w="63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校本部</w:t>
            </w:r>
          </w:p>
        </w:tc>
        <w:tc>
          <w:tcPr>
            <w:tcW w:w="47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7</w:t>
            </w:r>
          </w:p>
        </w:tc>
        <w:tc>
          <w:tcPr>
            <w:tcW w:w="48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8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w:t>
            </w:r>
          </w:p>
        </w:tc>
        <w:tc>
          <w:tcPr>
            <w:tcW w:w="48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w:t>
            </w:r>
          </w:p>
        </w:tc>
        <w:tc>
          <w:tcPr>
            <w:tcW w:w="486"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w:t>
            </w:r>
          </w:p>
        </w:tc>
        <w:tc>
          <w:tcPr>
            <w:tcW w:w="40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323"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0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7</w:t>
            </w:r>
          </w:p>
        </w:tc>
        <w:tc>
          <w:tcPr>
            <w:tcW w:w="40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06"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40" w:hRule="atLeast"/>
        </w:trPr>
        <w:tc>
          <w:tcPr>
            <w:tcW w:w="63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所辖县级机构汇总</w:t>
            </w:r>
          </w:p>
        </w:tc>
        <w:tc>
          <w:tcPr>
            <w:tcW w:w="478"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30</w:t>
            </w:r>
          </w:p>
        </w:tc>
        <w:tc>
          <w:tcPr>
            <w:tcW w:w="48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8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16</w:t>
            </w:r>
          </w:p>
        </w:tc>
        <w:tc>
          <w:tcPr>
            <w:tcW w:w="485"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10</w:t>
            </w:r>
          </w:p>
        </w:tc>
        <w:tc>
          <w:tcPr>
            <w:tcW w:w="486"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w:t>
            </w:r>
          </w:p>
        </w:tc>
        <w:tc>
          <w:tcPr>
            <w:tcW w:w="40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323"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0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27</w:t>
            </w:r>
          </w:p>
        </w:tc>
        <w:tc>
          <w:tcPr>
            <w:tcW w:w="404"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w:t>
            </w:r>
          </w:p>
        </w:tc>
        <w:tc>
          <w:tcPr>
            <w:tcW w:w="406"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r>
    </w:tbl>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hint="eastAsia" w:ascii="仿宋" w:hAnsi="仿宋" w:eastAsia="仿宋"/>
          <w:sz w:val="28"/>
          <w:szCs w:val="28"/>
          <w:u w:val="none"/>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u w:val="none"/>
        </w:rPr>
      </w:pPr>
      <w:r>
        <w:rPr>
          <w:rFonts w:hint="eastAsia" w:ascii="仿宋" w:hAnsi="仿宋" w:eastAsia="仿宋"/>
          <w:sz w:val="28"/>
          <w:szCs w:val="28"/>
          <w:u w:val="none"/>
        </w:rPr>
        <w:t>校外聘任教师数量与结构</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1328"/>
        <w:gridCol w:w="638"/>
        <w:gridCol w:w="870"/>
        <w:gridCol w:w="872"/>
        <w:gridCol w:w="870"/>
        <w:gridCol w:w="875"/>
        <w:gridCol w:w="681"/>
        <w:gridCol w:w="756"/>
        <w:gridCol w:w="556"/>
        <w:gridCol w:w="756"/>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40" w:hRule="atLeast"/>
          <w:jc w:val="center"/>
        </w:trPr>
        <w:tc>
          <w:tcPr>
            <w:tcW w:w="733" w:type="pct"/>
            <w:vMerge w:val="restar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单位</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名称</w:t>
            </w:r>
          </w:p>
        </w:tc>
        <w:tc>
          <w:tcPr>
            <w:tcW w:w="352" w:type="pct"/>
            <w:vMerge w:val="restar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兼职教师人数</w:t>
            </w:r>
          </w:p>
        </w:tc>
        <w:tc>
          <w:tcPr>
            <w:tcW w:w="1924" w:type="pct"/>
            <w:gridSpan w:val="4"/>
            <w:shd w:val="clear" w:color="auto" w:fill="FFFFFF" w:themeFill="background1"/>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职称情况</w:t>
            </w:r>
          </w:p>
        </w:tc>
        <w:tc>
          <w:tcPr>
            <w:tcW w:w="1989" w:type="pct"/>
            <w:gridSpan w:val="5"/>
            <w:shd w:val="clear" w:color="auto" w:fill="FFFFFF" w:themeFill="background1"/>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学历情况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40" w:hRule="atLeast"/>
          <w:jc w:val="center"/>
        </w:trPr>
        <w:tc>
          <w:tcPr>
            <w:tcW w:w="733" w:type="pct"/>
            <w:vMerge w:val="continue"/>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p>
        </w:tc>
        <w:tc>
          <w:tcPr>
            <w:tcW w:w="352" w:type="pct"/>
            <w:vMerge w:val="continue"/>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p>
        </w:tc>
        <w:tc>
          <w:tcPr>
            <w:tcW w:w="48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正高职称人数</w:t>
            </w:r>
          </w:p>
        </w:tc>
        <w:tc>
          <w:tcPr>
            <w:tcW w:w="48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副高职称人数</w:t>
            </w:r>
          </w:p>
        </w:tc>
        <w:tc>
          <w:tcPr>
            <w:tcW w:w="48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中级职称人数</w:t>
            </w:r>
          </w:p>
        </w:tc>
        <w:tc>
          <w:tcPr>
            <w:tcW w:w="48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中级以下职称人数</w:t>
            </w:r>
          </w:p>
        </w:tc>
        <w:tc>
          <w:tcPr>
            <w:tcW w:w="376"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博士生人数</w:t>
            </w:r>
          </w:p>
        </w:tc>
        <w:tc>
          <w:tcPr>
            <w:tcW w:w="41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硕士生人数</w:t>
            </w:r>
          </w:p>
        </w:tc>
        <w:tc>
          <w:tcPr>
            <w:tcW w:w="30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本科人数</w:t>
            </w:r>
          </w:p>
        </w:tc>
        <w:tc>
          <w:tcPr>
            <w:tcW w:w="41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大专人数</w:t>
            </w:r>
          </w:p>
        </w:tc>
        <w:tc>
          <w:tcPr>
            <w:tcW w:w="47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大专以下人数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40" w:hRule="atLeast"/>
          <w:jc w:val="center"/>
        </w:trPr>
        <w:tc>
          <w:tcPr>
            <w:tcW w:w="733"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校本部</w:t>
            </w:r>
          </w:p>
        </w:tc>
        <w:tc>
          <w:tcPr>
            <w:tcW w:w="35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34</w:t>
            </w:r>
          </w:p>
        </w:tc>
        <w:tc>
          <w:tcPr>
            <w:tcW w:w="48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7</w:t>
            </w:r>
          </w:p>
        </w:tc>
        <w:tc>
          <w:tcPr>
            <w:tcW w:w="48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12</w:t>
            </w:r>
          </w:p>
        </w:tc>
        <w:tc>
          <w:tcPr>
            <w:tcW w:w="48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11</w:t>
            </w:r>
          </w:p>
        </w:tc>
        <w:tc>
          <w:tcPr>
            <w:tcW w:w="48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4</w:t>
            </w:r>
          </w:p>
        </w:tc>
        <w:tc>
          <w:tcPr>
            <w:tcW w:w="376"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w:t>
            </w:r>
          </w:p>
        </w:tc>
        <w:tc>
          <w:tcPr>
            <w:tcW w:w="41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2</w:t>
            </w:r>
          </w:p>
        </w:tc>
        <w:tc>
          <w:tcPr>
            <w:tcW w:w="30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30</w:t>
            </w:r>
          </w:p>
        </w:tc>
        <w:tc>
          <w:tcPr>
            <w:tcW w:w="41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7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40" w:hRule="atLeast"/>
          <w:jc w:val="center"/>
        </w:trPr>
        <w:tc>
          <w:tcPr>
            <w:tcW w:w="733"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所辖县级机构汇总</w:t>
            </w:r>
          </w:p>
        </w:tc>
        <w:tc>
          <w:tcPr>
            <w:tcW w:w="352"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w:t>
            </w:r>
          </w:p>
        </w:tc>
        <w:tc>
          <w:tcPr>
            <w:tcW w:w="48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8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w:t>
            </w:r>
          </w:p>
        </w:tc>
        <w:tc>
          <w:tcPr>
            <w:tcW w:w="48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81"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376"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1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30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6</w:t>
            </w:r>
          </w:p>
        </w:tc>
        <w:tc>
          <w:tcPr>
            <w:tcW w:w="417"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c>
          <w:tcPr>
            <w:tcW w:w="470" w:type="pct"/>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sz w:val="28"/>
                <w:szCs w:val="28"/>
                <w:u w:val="none"/>
              </w:rPr>
            </w:pPr>
            <w:r>
              <w:rPr>
                <w:rFonts w:hint="eastAsia" w:ascii="仿宋" w:hAnsi="仿宋" w:eastAsia="仿宋"/>
                <w:sz w:val="28"/>
                <w:szCs w:val="28"/>
                <w:u w:val="none"/>
              </w:rPr>
              <w:t>/</w:t>
            </w:r>
          </w:p>
        </w:tc>
      </w:tr>
    </w:tbl>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四、科学研究和特色创新</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u w:val="none"/>
        </w:rPr>
      </w:pPr>
      <w:r>
        <w:rPr>
          <w:rFonts w:hint="eastAsia" w:ascii="仿宋" w:hAnsi="仿宋" w:eastAsia="仿宋"/>
          <w:sz w:val="32"/>
          <w:szCs w:val="32"/>
          <w:u w:val="none"/>
          <w:lang w:val="en-US" w:eastAsia="zh-CN"/>
        </w:rPr>
        <w:t>作为</w:t>
      </w:r>
      <w:r>
        <w:rPr>
          <w:rFonts w:hint="eastAsia" w:ascii="仿宋" w:hAnsi="仿宋" w:eastAsia="仿宋"/>
          <w:sz w:val="32"/>
          <w:szCs w:val="32"/>
          <w:u w:val="none"/>
        </w:rPr>
        <w:t>景德镇学院的下属二级学院，科研工作由景德镇学院科研处统一管理，执行学院的科研制度和规定。2021年</w:t>
      </w:r>
      <w:r>
        <w:rPr>
          <w:rFonts w:hint="eastAsia" w:ascii="仿宋" w:hAnsi="仿宋" w:eastAsia="仿宋"/>
          <w:sz w:val="32"/>
          <w:szCs w:val="32"/>
          <w:u w:val="none"/>
          <w:lang w:val="en-US" w:eastAsia="zh-CN"/>
        </w:rPr>
        <w:t>学校教师</w:t>
      </w:r>
      <w:r>
        <w:rPr>
          <w:rFonts w:hint="eastAsia" w:ascii="仿宋" w:hAnsi="仿宋" w:eastAsia="仿宋"/>
          <w:sz w:val="32"/>
          <w:szCs w:val="32"/>
          <w:u w:val="none"/>
        </w:rPr>
        <w:t>舒新兴通过教学实践研究发明，获得“一种土壤环境检测用便携取样器”实用新型专利。</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五、社会服务</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楷体" w:hAnsi="楷体" w:eastAsia="楷体"/>
          <w:b w:val="0"/>
          <w:bCs w:val="0"/>
          <w:sz w:val="32"/>
          <w:szCs w:val="32"/>
          <w:u w:val="none"/>
        </w:rPr>
      </w:pPr>
      <w:r>
        <w:rPr>
          <w:rFonts w:hint="eastAsia" w:ascii="楷体" w:hAnsi="楷体" w:eastAsia="楷体"/>
          <w:b w:val="0"/>
          <w:bCs w:val="0"/>
          <w:sz w:val="32"/>
          <w:szCs w:val="32"/>
          <w:u w:val="none"/>
        </w:rPr>
        <w:t>（一）服务地方经济社会发展与学习型社会建设情况</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1.乡村振兴</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lang w:val="en-US" w:eastAsia="zh-CN"/>
        </w:rPr>
        <w:t>学</w:t>
      </w:r>
      <w:r>
        <w:rPr>
          <w:rFonts w:hint="eastAsia" w:ascii="仿宋" w:hAnsi="仿宋" w:eastAsia="仿宋"/>
          <w:b w:val="0"/>
          <w:bCs w:val="0"/>
          <w:sz w:val="32"/>
          <w:szCs w:val="32"/>
          <w:u w:val="none"/>
        </w:rPr>
        <w:t>校2021年7月开始按照组织安排在浮梁县蛟潭镇胡宅村驻村帮扶，按照中共江西省委组织部、省委农办、省农业农村厅、省乡村振兴局《“关于向重点乡村持续选派驻村第一书记和工作队需要把握的几个问题”的通知》（赣组字</w:t>
      </w:r>
      <w:r>
        <w:rPr>
          <w:rFonts w:hint="eastAsia" w:ascii="仿宋" w:hAnsi="仿宋" w:eastAsia="仿宋"/>
          <w:b w:val="0"/>
          <w:bCs w:val="0"/>
          <w:sz w:val="32"/>
          <w:szCs w:val="32"/>
          <w:u w:val="none"/>
          <w:lang w:eastAsia="zh-CN"/>
        </w:rPr>
        <w:t>〔</w:t>
      </w:r>
      <w:r>
        <w:rPr>
          <w:rFonts w:hint="eastAsia" w:ascii="仿宋" w:hAnsi="仿宋" w:eastAsia="仿宋"/>
          <w:b w:val="0"/>
          <w:bCs w:val="0"/>
          <w:sz w:val="32"/>
          <w:szCs w:val="32"/>
          <w:u w:val="none"/>
        </w:rPr>
        <w:t>2021</w:t>
      </w:r>
      <w:r>
        <w:rPr>
          <w:rFonts w:hint="eastAsia" w:ascii="仿宋" w:hAnsi="仿宋" w:eastAsia="仿宋"/>
          <w:b w:val="0"/>
          <w:bCs w:val="0"/>
          <w:sz w:val="32"/>
          <w:szCs w:val="32"/>
          <w:u w:val="none"/>
          <w:lang w:eastAsia="zh-CN"/>
        </w:rPr>
        <w:t>〕</w:t>
      </w:r>
      <w:r>
        <w:rPr>
          <w:rFonts w:hint="eastAsia" w:ascii="仿宋" w:hAnsi="仿宋" w:eastAsia="仿宋"/>
          <w:b w:val="0"/>
          <w:bCs w:val="0"/>
          <w:sz w:val="32"/>
          <w:szCs w:val="32"/>
          <w:u w:val="none"/>
        </w:rPr>
        <w:t>38号）文件要求，选派了由学校继续教育学院（景德镇开放大学）处级干部舒新兴、党委组织部科级干部郭超睿和机关党委科级干部潘洪涛三名驻村干部；设立了专项帮扶经费预算项目，在制度上保障驻村帮扶工作和工作队办公经费；结合胡宅村发展和学校实际制定了三年帮扶计划，确立“红色、绿色、古色”三色协同发展思路，积极推进红色琅溪爱国主义教育基地拓展工程、绿色</w:t>
      </w:r>
      <w:r>
        <w:rPr>
          <w:rFonts w:hint="eastAsia" w:ascii="仿宋" w:hAnsi="仿宋" w:eastAsia="仿宋"/>
          <w:b w:val="0"/>
          <w:bCs w:val="0"/>
          <w:sz w:val="32"/>
          <w:szCs w:val="32"/>
          <w:u w:val="none"/>
          <w:lang w:eastAsia="zh-CN"/>
        </w:rPr>
        <w:t>－</w:t>
      </w:r>
      <w:r>
        <w:rPr>
          <w:rFonts w:hint="eastAsia" w:ascii="仿宋" w:hAnsi="仿宋" w:eastAsia="仿宋"/>
          <w:b w:val="0"/>
          <w:bCs w:val="0"/>
          <w:sz w:val="32"/>
          <w:szCs w:val="32"/>
          <w:u w:val="none"/>
        </w:rPr>
        <w:t>乡村森林公园提质改造工程、古色</w:t>
      </w:r>
      <w:r>
        <w:rPr>
          <w:rFonts w:hint="eastAsia" w:ascii="仿宋" w:hAnsi="仿宋" w:eastAsia="仿宋"/>
          <w:b w:val="0"/>
          <w:bCs w:val="0"/>
          <w:sz w:val="32"/>
          <w:szCs w:val="32"/>
          <w:u w:val="none"/>
          <w:lang w:eastAsia="zh-CN"/>
        </w:rPr>
        <w:t>－</w:t>
      </w:r>
      <w:r>
        <w:rPr>
          <w:rFonts w:hint="eastAsia" w:ascii="仿宋" w:hAnsi="仿宋" w:eastAsia="仿宋"/>
          <w:b w:val="0"/>
          <w:bCs w:val="0"/>
          <w:sz w:val="32"/>
          <w:szCs w:val="32"/>
          <w:u w:val="none"/>
        </w:rPr>
        <w:t>国家传统村落保护修复工程，发展以“三色”旅游为主的特色产业，壮大集体经济，实现强村富民。</w:t>
      </w:r>
      <w:r>
        <w:rPr>
          <w:rFonts w:ascii="仿宋" w:hAnsi="仿宋" w:eastAsia="仿宋"/>
          <w:b w:val="0"/>
          <w:bCs w:val="0"/>
          <w:sz w:val="32"/>
          <w:szCs w:val="32"/>
          <w:u w:val="none"/>
        </w:rPr>
        <w:t>到202</w:t>
      </w:r>
      <w:r>
        <w:rPr>
          <w:rFonts w:hint="eastAsia" w:ascii="仿宋" w:hAnsi="仿宋" w:eastAsia="仿宋"/>
          <w:b w:val="0"/>
          <w:bCs w:val="0"/>
          <w:sz w:val="32"/>
          <w:szCs w:val="32"/>
          <w:u w:val="none"/>
        </w:rPr>
        <w:t>3</w:t>
      </w:r>
      <w:r>
        <w:rPr>
          <w:rFonts w:ascii="仿宋" w:hAnsi="仿宋" w:eastAsia="仿宋"/>
          <w:b w:val="0"/>
          <w:bCs w:val="0"/>
          <w:sz w:val="32"/>
          <w:szCs w:val="32"/>
          <w:u w:val="none"/>
        </w:rPr>
        <w:t>年</w:t>
      </w:r>
      <w:r>
        <w:rPr>
          <w:rFonts w:hint="eastAsia" w:ascii="仿宋" w:hAnsi="仿宋" w:eastAsia="仿宋"/>
          <w:b w:val="0"/>
          <w:bCs w:val="0"/>
          <w:sz w:val="32"/>
          <w:szCs w:val="32"/>
          <w:u w:val="none"/>
        </w:rPr>
        <w:t>，初步形成胡宅村一二三产业融合发展格局，</w:t>
      </w:r>
      <w:r>
        <w:rPr>
          <w:rFonts w:ascii="仿宋" w:hAnsi="仿宋" w:eastAsia="仿宋"/>
          <w:b w:val="0"/>
          <w:bCs w:val="0"/>
          <w:sz w:val="32"/>
          <w:szCs w:val="32"/>
          <w:u w:val="none"/>
        </w:rPr>
        <w:t>乡村产业加快发展，农民收入水平进一步提高，脱贫攻坚成果得到进一步巩固；村基础设施条件持续改善，人居环境显著改善，生态宜居的美丽乡村建设扎实推进；乡村优秀传统文化得以传承和发展，农民精神文化生活需求基本得到满足；村</w:t>
      </w:r>
      <w:r>
        <w:rPr>
          <w:rFonts w:hint="eastAsia" w:ascii="仿宋" w:hAnsi="仿宋" w:eastAsia="仿宋"/>
          <w:b w:val="0"/>
          <w:bCs w:val="0"/>
          <w:sz w:val="32"/>
          <w:szCs w:val="32"/>
          <w:u w:val="none"/>
        </w:rPr>
        <w:t>党</w:t>
      </w:r>
      <w:r>
        <w:rPr>
          <w:rFonts w:ascii="仿宋" w:hAnsi="仿宋" w:eastAsia="仿宋"/>
          <w:b w:val="0"/>
          <w:bCs w:val="0"/>
          <w:sz w:val="32"/>
          <w:szCs w:val="32"/>
          <w:u w:val="none"/>
        </w:rPr>
        <w:t>组织建设明显加强，乡村治理能力进一步提升，现代乡村治理体系初步构建。</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2.产业服务</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学校组织以景德镇学院杨波博士为主的专家团队，深入胡宅村进行科学规划，对全村基础设施、产业发展进行合理设计，初步形成了胡宅村“十四五”乡村振兴规划设计方案。</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1）确定了以“红、绿、古”三色旅游为主的特色产业发展思路。胡宅村琅溪是中共河西县委旧址，是浮梁县精心打造省级红色名村，具有厚重的红色革命历史，已成为浮梁县开展爱国主义教育与红色研学活动基地，将在现有规划建设的红军路、展览馆、食宿区等功能区基础上，进一步加大对红色文化的保护和开发，挖掘红色历史故事，拓展研学范围，开发户外素质拓展项目，逐步将其打造成为市级爱国主义教育与红色研学活动基地和城乡居民休闲旅游度假胜地，使其成为胡宅村的一张红色产业名片。</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2）振兴“恒德祥号”茶文化产业。“恒德祥”茶号是胡宅村的老字号茶叶商标，深挖“恒德祥号”茶文化历史，借助胡宅村的茶商文化，复垦开发利用村民的茶树资源，重塑“恒德祥号”老字号品牌，恢复发展茶文化产业项目，促进村集体经济持续发展，实现强村富民。</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3.社区教育</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2021年是</w:t>
      </w:r>
      <w:r>
        <w:rPr>
          <w:rFonts w:hint="eastAsia" w:ascii="仿宋" w:hAnsi="仿宋" w:eastAsia="仿宋"/>
          <w:b w:val="0"/>
          <w:bCs w:val="0"/>
          <w:sz w:val="32"/>
          <w:szCs w:val="32"/>
          <w:u w:val="none"/>
          <w:lang w:val="en-US" w:eastAsia="zh-CN"/>
        </w:rPr>
        <w:t>学</w:t>
      </w:r>
      <w:r>
        <w:rPr>
          <w:rFonts w:hint="eastAsia" w:ascii="仿宋" w:hAnsi="仿宋" w:eastAsia="仿宋"/>
          <w:b w:val="0"/>
          <w:bCs w:val="0"/>
          <w:sz w:val="32"/>
          <w:szCs w:val="32"/>
          <w:u w:val="none"/>
        </w:rPr>
        <w:t>校开展全市社区教育的起步年，通过</w:t>
      </w:r>
      <w:r>
        <w:rPr>
          <w:rFonts w:hint="eastAsia" w:ascii="仿宋" w:hAnsi="仿宋" w:eastAsia="仿宋"/>
          <w:b w:val="0"/>
          <w:bCs w:val="0"/>
          <w:sz w:val="32"/>
          <w:szCs w:val="32"/>
          <w:u w:val="none"/>
          <w:lang w:eastAsia="zh-CN"/>
        </w:rPr>
        <w:t>认真地学习</w:t>
      </w:r>
      <w:r>
        <w:rPr>
          <w:rFonts w:hint="eastAsia" w:ascii="仿宋" w:hAnsi="仿宋" w:eastAsia="仿宋"/>
          <w:b w:val="0"/>
          <w:bCs w:val="0"/>
          <w:sz w:val="32"/>
          <w:szCs w:val="32"/>
          <w:u w:val="none"/>
        </w:rPr>
        <w:t>社区教育的业务知识，制定了2021年全市社区教育工作要点，并根据工作要点，组织开展了三次高质量的社区教育活动，活动不仅把“双减”政策后家庭教育指导带到了市小学，还带进了乡村，得到了市教育局及社会的高度评价。</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为弥补目前因迁址过渡无学习活动场地的缺憾，</w:t>
      </w:r>
      <w:r>
        <w:rPr>
          <w:rFonts w:hint="eastAsia" w:ascii="仿宋" w:hAnsi="仿宋" w:eastAsia="仿宋"/>
          <w:b w:val="0"/>
          <w:bCs w:val="0"/>
          <w:sz w:val="32"/>
          <w:szCs w:val="32"/>
          <w:u w:val="none"/>
          <w:lang w:val="en-US" w:eastAsia="zh-CN"/>
        </w:rPr>
        <w:t>学</w:t>
      </w:r>
      <w:r>
        <w:rPr>
          <w:rFonts w:hint="eastAsia" w:ascii="仿宋" w:hAnsi="仿宋" w:eastAsia="仿宋"/>
          <w:b w:val="0"/>
          <w:bCs w:val="0"/>
          <w:sz w:val="32"/>
          <w:szCs w:val="32"/>
          <w:u w:val="none"/>
        </w:rPr>
        <w:t>校积极</w:t>
      </w:r>
      <w:r>
        <w:rPr>
          <w:rFonts w:hint="eastAsia" w:ascii="仿宋" w:hAnsi="仿宋" w:eastAsia="仿宋"/>
          <w:b w:val="0"/>
          <w:bCs w:val="0"/>
          <w:sz w:val="32"/>
          <w:szCs w:val="32"/>
          <w:u w:val="none"/>
          <w:lang w:eastAsia="zh-CN"/>
        </w:rPr>
        <w:t>主动地联系</w:t>
      </w:r>
      <w:r>
        <w:rPr>
          <w:rFonts w:hint="eastAsia" w:ascii="仿宋" w:hAnsi="仿宋" w:eastAsia="仿宋"/>
          <w:b w:val="0"/>
          <w:bCs w:val="0"/>
          <w:sz w:val="32"/>
          <w:szCs w:val="32"/>
          <w:u w:val="none"/>
        </w:rPr>
        <w:t>了两个校外固定教学活动场地，解决今后开展活动的场所问题。积极开展社区教育的宣传报道，不仅通过</w:t>
      </w:r>
      <w:r>
        <w:rPr>
          <w:rFonts w:hint="eastAsia" w:ascii="仿宋" w:hAnsi="仿宋" w:eastAsia="仿宋"/>
          <w:b w:val="0"/>
          <w:bCs w:val="0"/>
          <w:sz w:val="32"/>
          <w:szCs w:val="32"/>
          <w:u w:val="none"/>
          <w:lang w:val="en-US" w:eastAsia="zh-CN"/>
        </w:rPr>
        <w:t>学</w:t>
      </w:r>
      <w:r>
        <w:rPr>
          <w:rFonts w:hint="eastAsia" w:ascii="仿宋" w:hAnsi="仿宋" w:eastAsia="仿宋"/>
          <w:b w:val="0"/>
          <w:bCs w:val="0"/>
          <w:sz w:val="32"/>
          <w:szCs w:val="32"/>
          <w:u w:val="none"/>
        </w:rPr>
        <w:t>校新闻平台报道5篇、制作美篇2篇、微信朋友圈及转发多次，还向新浪网推送报道1篇，通过多渠道宣传报道，扩大了市民对社区教育的认知度和对社区教育活动的参与度。</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为贯彻落实《江西省教育厅等十部门关于加快推进社区教育发展的实施意见》，积极开拓社区教育项目，引导社区居民养成“开心阅读、分享智慧”的读书习惯，学校积极打造“悦享读书”社区读书品牌，并与第三方景德镇樊登读书和“成长方舟”等家庭教育指导机构合作，分别组织开展了“景德镇社区教育‘悦享读书’活动”“景德镇社区教育‘悦享读书’活动进小学”“景德镇社区教育‘悦享读书’活动进乡村”等“悦享读书”系列社区教育活动。“悦享读书”活动走进小学和乡村向家长普及家庭教育知识，不仅更好地让家庭教育成为学校教育和社区教育的基础和纽带，而且进一步推进</w:t>
      </w:r>
      <w:r>
        <w:rPr>
          <w:rFonts w:hint="eastAsia" w:ascii="仿宋" w:hAnsi="仿宋" w:eastAsia="仿宋"/>
          <w:b w:val="0"/>
          <w:bCs w:val="0"/>
          <w:sz w:val="32"/>
          <w:szCs w:val="32"/>
          <w:u w:val="none"/>
          <w:lang w:val="en-US" w:eastAsia="zh-CN"/>
        </w:rPr>
        <w:t>全</w:t>
      </w:r>
      <w:r>
        <w:rPr>
          <w:rFonts w:hint="eastAsia" w:ascii="仿宋" w:hAnsi="仿宋" w:eastAsia="仿宋"/>
          <w:b w:val="0"/>
          <w:bCs w:val="0"/>
          <w:sz w:val="32"/>
          <w:szCs w:val="32"/>
          <w:u w:val="none"/>
        </w:rPr>
        <w:t>市社区家庭教育工作的深入发展。</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2021年学校积极配合</w:t>
      </w:r>
      <w:r>
        <w:rPr>
          <w:rFonts w:hint="eastAsia" w:ascii="仿宋" w:hAnsi="仿宋" w:eastAsia="仿宋"/>
          <w:b w:val="0"/>
          <w:bCs w:val="0"/>
          <w:sz w:val="32"/>
          <w:szCs w:val="32"/>
          <w:u w:val="none"/>
          <w:lang w:val="en-US" w:eastAsia="zh-CN"/>
        </w:rPr>
        <w:t>市</w:t>
      </w:r>
      <w:r>
        <w:rPr>
          <w:rFonts w:hint="eastAsia" w:ascii="仿宋" w:hAnsi="仿宋" w:eastAsia="仿宋"/>
          <w:b w:val="0"/>
          <w:bCs w:val="0"/>
          <w:sz w:val="32"/>
          <w:szCs w:val="32"/>
          <w:u w:val="none"/>
        </w:rPr>
        <w:t>教育局参评省教育厅组织的2021年江西省“百姓学习之星”和“终身学习品牌项目”，推荐的昌河剪纸非遗传人朱丹丹获得全国“百姓学习之星”荣誉称号（全省仅五名获得全国“百姓学习之星”），“悦享读书”品牌获得全省“终身学习品牌”荣誉称号。</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4.职业培训</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在开展职业培训方面，为进一步建设社会工作者队伍，推动社会工作人才的本土化、专业化、职业化进程，提高社区社会工作者持证比率，提升社区社会工作人才队伍专业能力，开展</w:t>
      </w:r>
      <w:r>
        <w:rPr>
          <w:rFonts w:hint="eastAsia" w:ascii="仿宋" w:hAnsi="仿宋" w:eastAsia="仿宋"/>
          <w:b w:val="0"/>
          <w:bCs w:val="0"/>
          <w:sz w:val="32"/>
          <w:szCs w:val="32"/>
          <w:u w:val="none"/>
          <w:lang w:val="en-US" w:eastAsia="zh-CN"/>
        </w:rPr>
        <w:t>了</w:t>
      </w:r>
      <w:r>
        <w:rPr>
          <w:rFonts w:hint="eastAsia" w:ascii="仿宋" w:hAnsi="仿宋" w:eastAsia="仿宋"/>
          <w:b w:val="0"/>
          <w:bCs w:val="0"/>
          <w:sz w:val="32"/>
          <w:szCs w:val="32"/>
          <w:u w:val="none"/>
        </w:rPr>
        <w:t>社会工作者培训。2021年7月25日由景德镇市七彩社会工作服务中心与景德镇市社区教育指导中心联合举办的景德镇市社会工作者培训班在景德镇市社区指导中心（景德镇开放大学）4楼408教室举行了开班仪式，此次培训共有36名社区工作者参训。</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楷体" w:hAnsi="楷体" w:eastAsia="楷体"/>
          <w:b w:val="0"/>
          <w:bCs w:val="0"/>
          <w:sz w:val="32"/>
          <w:szCs w:val="32"/>
          <w:u w:val="none"/>
        </w:rPr>
      </w:pPr>
      <w:r>
        <w:rPr>
          <w:rFonts w:hint="eastAsia" w:ascii="楷体" w:hAnsi="楷体" w:eastAsia="楷体"/>
          <w:b w:val="0"/>
          <w:bCs w:val="0"/>
          <w:sz w:val="32"/>
          <w:szCs w:val="32"/>
          <w:u w:val="none"/>
        </w:rPr>
        <w:t>（二）对口支援、教育帮扶情况</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为贯彻落实习近平总书记关于“注重家庭、注重家教、注重家风”的讲话精神和十九大精神，加强未成年人思想道德建设，完善家庭、学校、社会“三位一体”教育网络建设，广泛宣传普及科学育儿知识，11月30日，景德镇社区教育指导中心特邀国家二级心理咨询师、成长方舟家庭教育指导师汪鸿华老师，到昌江区鱼山镇</w:t>
      </w:r>
      <w:r>
        <w:rPr>
          <w:rFonts w:hint="eastAsia" w:ascii="仿宋" w:hAnsi="仿宋" w:eastAsia="仿宋"/>
          <w:b w:val="0"/>
          <w:bCs w:val="0"/>
          <w:sz w:val="32"/>
          <w:szCs w:val="32"/>
          <w:u w:val="none"/>
          <w:lang w:eastAsia="zh-CN"/>
        </w:rPr>
        <w:t>留尼汪岛</w:t>
      </w:r>
      <w:r>
        <w:rPr>
          <w:rFonts w:hint="eastAsia" w:ascii="仿宋" w:hAnsi="仿宋" w:eastAsia="仿宋"/>
          <w:b w:val="0"/>
          <w:bCs w:val="0"/>
          <w:sz w:val="32"/>
          <w:szCs w:val="32"/>
          <w:u w:val="none"/>
        </w:rPr>
        <w:t>小学做家庭教育讲座及读书指导。</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本次讲座以方舟老师所著的《成就完美孩子30节课》中的“如何与孩子好好说话”章节为学习内容，讲座中，汪老师以她风趣活泼的互动方式，一步步剖析在错误的家庭沟通中孩子易出现的问题，并就问题给家长们支了许多亲子沟通的妙招。家长们听了汪老师的讲座表示感受颇深，明白了不同的沟通方式会产生不同的效果，不良的沟通方式不仅会影响到亲子关系的和谐，同时对孩子心理产生消极的影响，严重的甚至会影响到孩子人格的形成与发展。</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b w:val="0"/>
          <w:bCs w:val="0"/>
          <w:sz w:val="32"/>
          <w:szCs w:val="32"/>
          <w:u w:val="none"/>
        </w:rPr>
      </w:pPr>
      <w:r>
        <w:rPr>
          <w:rFonts w:hint="eastAsia" w:ascii="仿宋" w:hAnsi="仿宋" w:eastAsia="仿宋"/>
          <w:b w:val="0"/>
          <w:bCs w:val="0"/>
          <w:sz w:val="32"/>
          <w:szCs w:val="32"/>
          <w:u w:val="none"/>
        </w:rPr>
        <w:t>乡村家庭教育还存在不少薄弱环节，需要家庭、学校、社会共同高度关注。今后，社区教育将进一步深入乡村社区，引导更多乡村家长学习家庭教育，提高家庭教育意识，改善乡村未成年人家庭教育环境，帮助乡村学生身心健康发展。</w:t>
      </w:r>
    </w:p>
    <w:p>
      <w:pPr>
        <w:pageBreakBefore w:val="0"/>
        <w:widowControl w:val="0"/>
        <w:numPr>
          <w:ilvl w:val="0"/>
          <w:numId w:val="1"/>
        </w:numPr>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存在的问题</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Times New Roman"/>
          <w:b w:val="0"/>
          <w:bCs/>
          <w:color w:val="auto"/>
          <w:sz w:val="32"/>
          <w:szCs w:val="32"/>
          <w:u w:val="none"/>
          <w:lang w:val="en-US" w:eastAsia="zh-CN"/>
        </w:rPr>
      </w:pPr>
      <w:r>
        <w:rPr>
          <w:rFonts w:hint="eastAsia" w:ascii="仿宋" w:hAnsi="仿宋" w:eastAsia="仿宋" w:cs="Times New Roman"/>
          <w:b w:val="0"/>
          <w:bCs/>
          <w:color w:val="auto"/>
          <w:sz w:val="32"/>
          <w:szCs w:val="32"/>
          <w:u w:val="none"/>
          <w:lang w:val="en-US" w:eastAsia="zh-CN"/>
        </w:rPr>
        <w:t>1.进一步推进办学体系建设。要积极争取政府教育主管部门的支持，落实浮梁县开放学院重设工作，提升所辖开放学院办学能力，推动当地区开放教育发展；与所辖办学单位签订合作办学协议，明确办学职责。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Times New Roman"/>
          <w:b w:val="0"/>
          <w:bCs/>
          <w:color w:val="auto"/>
          <w:sz w:val="32"/>
          <w:szCs w:val="32"/>
          <w:u w:val="none"/>
          <w:lang w:val="en-US" w:eastAsia="zh-CN"/>
        </w:rPr>
      </w:pPr>
      <w:r>
        <w:rPr>
          <w:rFonts w:hint="eastAsia" w:ascii="仿宋" w:hAnsi="仿宋" w:eastAsia="仿宋" w:cs="Times New Roman"/>
          <w:b w:val="0"/>
          <w:bCs/>
          <w:color w:val="auto"/>
          <w:sz w:val="32"/>
          <w:szCs w:val="32"/>
          <w:u w:val="none"/>
          <w:lang w:val="en-US" w:eastAsia="zh-CN"/>
        </w:rPr>
        <w:t>2.要重视“思政课程”“课程思政”教学工作与思政课教师队伍建设。</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Times New Roman"/>
          <w:b w:val="0"/>
          <w:bCs/>
          <w:color w:val="auto"/>
          <w:sz w:val="32"/>
          <w:szCs w:val="32"/>
          <w:u w:val="none"/>
          <w:lang w:val="en-US" w:eastAsia="zh-CN"/>
        </w:rPr>
      </w:pPr>
      <w:r>
        <w:rPr>
          <w:rFonts w:hint="eastAsia" w:ascii="仿宋" w:hAnsi="仿宋" w:eastAsia="仿宋" w:cs="Times New Roman"/>
          <w:b w:val="0"/>
          <w:bCs/>
          <w:color w:val="auto"/>
          <w:sz w:val="32"/>
          <w:szCs w:val="32"/>
          <w:u w:val="none"/>
          <w:lang w:val="en-US" w:eastAsia="zh-CN"/>
        </w:rPr>
        <w:t>3.师资力量薄弱。师资总体数量不足、结构不合理、专业失衡、教学活动开展较为困难。</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Times New Roman"/>
          <w:b w:val="0"/>
          <w:bCs/>
          <w:color w:val="auto"/>
          <w:sz w:val="32"/>
          <w:szCs w:val="32"/>
          <w:u w:val="none"/>
          <w:lang w:val="en-US" w:eastAsia="zh-CN"/>
        </w:rPr>
      </w:pPr>
      <w:r>
        <w:rPr>
          <w:rFonts w:hint="eastAsia" w:ascii="仿宋" w:hAnsi="仿宋" w:eastAsia="仿宋" w:cs="Times New Roman"/>
          <w:b w:val="0"/>
          <w:bCs/>
          <w:color w:val="auto"/>
          <w:sz w:val="32"/>
          <w:szCs w:val="32"/>
          <w:u w:val="none"/>
          <w:lang w:val="en-US" w:eastAsia="zh-CN"/>
        </w:rPr>
        <w:t>4.办学场地与办学规模不相适应。</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Times New Roman"/>
          <w:b w:val="0"/>
          <w:bCs/>
          <w:color w:val="auto"/>
          <w:sz w:val="32"/>
          <w:szCs w:val="32"/>
          <w:u w:val="none"/>
          <w:lang w:val="en-US" w:eastAsia="zh-CN"/>
        </w:rPr>
      </w:pPr>
      <w:r>
        <w:rPr>
          <w:rFonts w:hint="eastAsia" w:ascii="仿宋" w:hAnsi="仿宋" w:eastAsia="仿宋" w:cs="Times New Roman"/>
          <w:b w:val="0"/>
          <w:bCs/>
          <w:color w:val="auto"/>
          <w:sz w:val="32"/>
          <w:szCs w:val="32"/>
          <w:u w:val="none"/>
          <w:lang w:val="en-US" w:eastAsia="zh-CN"/>
        </w:rPr>
        <w:t>5.教学组织能力有待提升，要加强对人才培养方案和执行性教学计划的落实，并体现地方特色。</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Times New Roman"/>
          <w:b w:val="0"/>
          <w:bCs/>
          <w:color w:val="auto"/>
          <w:sz w:val="32"/>
          <w:szCs w:val="32"/>
          <w:u w:val="none"/>
          <w:lang w:val="en-US" w:eastAsia="zh-CN"/>
        </w:rPr>
      </w:pPr>
      <w:r>
        <w:rPr>
          <w:rFonts w:hint="eastAsia" w:ascii="仿宋" w:hAnsi="仿宋" w:eastAsia="仿宋" w:cs="Times New Roman"/>
          <w:b w:val="0"/>
          <w:bCs/>
          <w:color w:val="auto"/>
          <w:sz w:val="32"/>
          <w:szCs w:val="32"/>
          <w:u w:val="none"/>
          <w:lang w:val="en-US" w:eastAsia="zh-CN"/>
        </w:rPr>
        <w:t>6.</w:t>
      </w:r>
      <w:r>
        <w:rPr>
          <w:rFonts w:hint="eastAsia" w:ascii="仿宋" w:hAnsi="仿宋" w:eastAsia="仿宋" w:cs="Times New Roman"/>
          <w:color w:val="auto"/>
          <w:sz w:val="32"/>
          <w:szCs w:val="32"/>
          <w:u w:val="none"/>
          <w:lang w:val="en-US" w:eastAsia="zh-CN"/>
        </w:rPr>
        <w:t>网上学习积极性有待提升，</w:t>
      </w:r>
      <w:r>
        <w:rPr>
          <w:rFonts w:hint="eastAsia" w:ascii="仿宋" w:hAnsi="仿宋" w:eastAsia="仿宋" w:cs="Times New Roman"/>
          <w:b w:val="0"/>
          <w:bCs/>
          <w:color w:val="auto"/>
          <w:sz w:val="32"/>
          <w:szCs w:val="32"/>
          <w:u w:val="none"/>
          <w:lang w:val="en-US" w:eastAsia="zh-CN"/>
        </w:rPr>
        <w:t>如学习网“选课率”“上线学生比例”“学生人均上线天数”。</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仿宋"/>
          <w:color w:val="auto"/>
          <w:spacing w:val="-6"/>
          <w:kern w:val="0"/>
          <w:sz w:val="32"/>
          <w:szCs w:val="32"/>
          <w:u w:val="none"/>
          <w:lang w:val="en-US" w:eastAsia="zh-CN"/>
        </w:rPr>
      </w:pPr>
      <w:r>
        <w:rPr>
          <w:rFonts w:hint="eastAsia" w:ascii="仿宋" w:hAnsi="仿宋" w:eastAsia="仿宋" w:cs="Times New Roman"/>
          <w:b w:val="0"/>
          <w:bCs/>
          <w:color w:val="auto"/>
          <w:sz w:val="32"/>
          <w:szCs w:val="32"/>
          <w:u w:val="none"/>
          <w:lang w:val="en-US" w:eastAsia="zh-CN"/>
        </w:rPr>
        <w:t>7.</w:t>
      </w:r>
      <w:r>
        <w:rPr>
          <w:rFonts w:hint="eastAsia" w:ascii="仿宋" w:hAnsi="仿宋" w:eastAsia="仿宋" w:cs="仿宋"/>
          <w:color w:val="auto"/>
          <w:spacing w:val="-6"/>
          <w:kern w:val="0"/>
          <w:sz w:val="32"/>
          <w:szCs w:val="32"/>
          <w:u w:val="none"/>
          <w:lang w:val="en-US" w:eastAsia="zh-CN"/>
        </w:rPr>
        <w:t>要加大国家开放大学学位申请的宣传力度，做好学位外语培训和相关组织工作。2021年度仅1名学生申请并获得学位。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Times New Roman"/>
          <w:b w:val="0"/>
          <w:bCs/>
          <w:color w:val="auto"/>
          <w:sz w:val="32"/>
          <w:szCs w:val="32"/>
          <w:u w:val="none"/>
          <w:lang w:val="en-US" w:eastAsia="zh-CN"/>
        </w:rPr>
      </w:pPr>
      <w:r>
        <w:rPr>
          <w:rFonts w:hint="eastAsia" w:ascii="仿宋" w:hAnsi="仿宋" w:eastAsia="仿宋" w:cs="Times New Roman"/>
          <w:b w:val="0"/>
          <w:bCs/>
          <w:color w:val="auto"/>
          <w:sz w:val="32"/>
          <w:szCs w:val="32"/>
          <w:u w:val="none"/>
          <w:lang w:val="en-US" w:eastAsia="zh-CN"/>
        </w:rPr>
        <w:t>8.要成立学生工作队伍，积极开展校友工作与“互联网+”大学生创新创业活动。</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default" w:ascii="仿宋" w:hAnsi="仿宋" w:eastAsia="仿宋" w:cs="Times New Roman"/>
          <w:b w:val="0"/>
          <w:bCs/>
          <w:color w:val="auto"/>
          <w:sz w:val="32"/>
          <w:szCs w:val="32"/>
          <w:u w:val="none"/>
          <w:lang w:val="en-US" w:eastAsia="zh-CN"/>
        </w:rPr>
      </w:pPr>
      <w:r>
        <w:rPr>
          <w:rFonts w:hint="eastAsia" w:ascii="仿宋" w:hAnsi="仿宋" w:eastAsia="仿宋" w:cs="Times New Roman"/>
          <w:b w:val="0"/>
          <w:bCs/>
          <w:color w:val="auto"/>
          <w:sz w:val="32"/>
          <w:szCs w:val="32"/>
          <w:u w:val="none"/>
          <w:lang w:val="en-US" w:eastAsia="zh-CN"/>
        </w:rPr>
        <w:t>9.教学投入占学费收入的比例不足70%，</w:t>
      </w:r>
      <w:r>
        <w:rPr>
          <w:rFonts w:hint="default" w:ascii="仿宋" w:hAnsi="仿宋" w:eastAsia="仿宋"/>
          <w:color w:val="auto"/>
          <w:sz w:val="32"/>
          <w:szCs w:val="32"/>
          <w:u w:val="none"/>
          <w:lang w:val="en-US" w:eastAsia="zh-CN"/>
        </w:rPr>
        <w:t>资源建设、信息化软硬件建设、师资培训和实践教学投入占同期教学投入的比例</w:t>
      </w:r>
      <w:r>
        <w:rPr>
          <w:rFonts w:hint="eastAsia" w:ascii="仿宋" w:hAnsi="仿宋" w:eastAsia="仿宋"/>
          <w:color w:val="auto"/>
          <w:sz w:val="32"/>
          <w:szCs w:val="32"/>
          <w:u w:val="none"/>
          <w:lang w:val="en-US" w:eastAsia="zh-CN"/>
        </w:rPr>
        <w:t>不足40%。</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Times New Roman"/>
          <w:b w:val="0"/>
          <w:bCs/>
          <w:color w:val="auto"/>
          <w:sz w:val="32"/>
          <w:szCs w:val="32"/>
          <w:u w:val="none"/>
          <w:lang w:val="en-US" w:eastAsia="zh-CN"/>
        </w:rPr>
      </w:pPr>
      <w:r>
        <w:rPr>
          <w:rFonts w:hint="eastAsia" w:ascii="仿宋" w:hAnsi="仿宋" w:eastAsia="仿宋" w:cs="Times New Roman"/>
          <w:b w:val="0"/>
          <w:bCs/>
          <w:color w:val="auto"/>
          <w:sz w:val="32"/>
          <w:szCs w:val="32"/>
          <w:u w:val="none"/>
          <w:lang w:val="en-US" w:eastAsia="zh-CN"/>
        </w:rPr>
        <w:t>10.电子资源少，向社会推广优秀资源的能力有待加强。</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default"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11.要重视</w:t>
      </w:r>
      <w:r>
        <w:rPr>
          <w:rFonts w:hint="default" w:ascii="仿宋" w:hAnsi="仿宋" w:eastAsia="仿宋"/>
          <w:color w:val="auto"/>
          <w:sz w:val="32"/>
          <w:szCs w:val="32"/>
          <w:u w:val="none"/>
          <w:lang w:val="en-US" w:eastAsia="zh-CN"/>
        </w:rPr>
        <w:t>科学研究</w:t>
      </w:r>
      <w:r>
        <w:rPr>
          <w:rFonts w:hint="eastAsia" w:ascii="仿宋" w:hAnsi="仿宋" w:eastAsia="仿宋"/>
          <w:color w:val="auto"/>
          <w:sz w:val="32"/>
          <w:szCs w:val="32"/>
          <w:u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12.要加强校外实践基地建设，加强与企业、职业院校合作办学，更好地服务地方经济社会发展。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default" w:ascii="仿宋" w:hAnsi="仿宋" w:eastAsia="仿宋" w:cs="Times New Roman"/>
          <w:color w:val="auto"/>
          <w:sz w:val="32"/>
          <w:szCs w:val="32"/>
          <w:highlight w:val="none"/>
          <w:u w:val="none"/>
          <w:lang w:val="en-US" w:eastAsia="zh-CN"/>
        </w:rPr>
      </w:pPr>
      <w:r>
        <w:rPr>
          <w:rFonts w:hint="eastAsia" w:ascii="仿宋" w:hAnsi="仿宋" w:eastAsia="仿宋" w:cs="Calibri"/>
          <w:color w:val="auto"/>
          <w:kern w:val="2"/>
          <w:sz w:val="32"/>
          <w:szCs w:val="32"/>
          <w:u w:val="none"/>
          <w:lang w:val="en-US" w:eastAsia="zh-CN" w:bidi="ar-SA"/>
        </w:rPr>
        <w:t>13.要建立健全社区教育体系，积极推动老年开放大学建设。</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ascii="仿宋" w:hAnsi="仿宋" w:eastAsia="仿宋"/>
          <w:sz w:val="32"/>
          <w:szCs w:val="32"/>
          <w:u w:val="none"/>
        </w:rPr>
      </w:pPr>
      <w:bookmarkStart w:id="1" w:name="_GoBack"/>
      <w:bookmarkEnd w:id="1"/>
    </w:p>
    <w:sectPr>
      <w:headerReference r:id="rId3" w:type="default"/>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0247382"/>
    </w:sdtPr>
    <w:sdtContent>
      <w:p>
        <w:pPr>
          <w:pStyle w:val="8"/>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15 -</w:t>
        </w:r>
        <w:r>
          <w:rPr>
            <w:sz w:val="28"/>
            <w:szCs w:val="28"/>
          </w:rP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33E4FC"/>
    <w:multiLevelType w:val="singleLevel"/>
    <w:tmpl w:val="3B33E4F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iNmY0NzcwZmVjMTcwMmU4MDY3ZmRiZDYwZDdhZTMifQ=="/>
  </w:docVars>
  <w:rsids>
    <w:rsidRoot w:val="269B63B7"/>
    <w:rsid w:val="0005089C"/>
    <w:rsid w:val="000614FC"/>
    <w:rsid w:val="00070124"/>
    <w:rsid w:val="00072547"/>
    <w:rsid w:val="00080817"/>
    <w:rsid w:val="00090469"/>
    <w:rsid w:val="00095C96"/>
    <w:rsid w:val="000A6F6E"/>
    <w:rsid w:val="000C7E37"/>
    <w:rsid w:val="00165161"/>
    <w:rsid w:val="00171AD4"/>
    <w:rsid w:val="00176134"/>
    <w:rsid w:val="00181919"/>
    <w:rsid w:val="001A278C"/>
    <w:rsid w:val="001A50CD"/>
    <w:rsid w:val="001B4D00"/>
    <w:rsid w:val="001E60C9"/>
    <w:rsid w:val="001F2C5F"/>
    <w:rsid w:val="0020399B"/>
    <w:rsid w:val="00224DBE"/>
    <w:rsid w:val="00226F1C"/>
    <w:rsid w:val="0024145E"/>
    <w:rsid w:val="002500ED"/>
    <w:rsid w:val="00262AB1"/>
    <w:rsid w:val="0027012F"/>
    <w:rsid w:val="00271FD8"/>
    <w:rsid w:val="002831CC"/>
    <w:rsid w:val="003173FA"/>
    <w:rsid w:val="00320E62"/>
    <w:rsid w:val="0033748E"/>
    <w:rsid w:val="00360753"/>
    <w:rsid w:val="00373703"/>
    <w:rsid w:val="00384733"/>
    <w:rsid w:val="00390EB1"/>
    <w:rsid w:val="003A15C1"/>
    <w:rsid w:val="003A5DFA"/>
    <w:rsid w:val="003B7C17"/>
    <w:rsid w:val="003D0FEF"/>
    <w:rsid w:val="003D5E98"/>
    <w:rsid w:val="0041158D"/>
    <w:rsid w:val="00432EDA"/>
    <w:rsid w:val="004613D3"/>
    <w:rsid w:val="004666FB"/>
    <w:rsid w:val="004A12F0"/>
    <w:rsid w:val="004B06B6"/>
    <w:rsid w:val="004B22EC"/>
    <w:rsid w:val="004E7A07"/>
    <w:rsid w:val="00506AA5"/>
    <w:rsid w:val="005550B1"/>
    <w:rsid w:val="00581146"/>
    <w:rsid w:val="005962D3"/>
    <w:rsid w:val="005A5A1C"/>
    <w:rsid w:val="005D4EDA"/>
    <w:rsid w:val="005E1051"/>
    <w:rsid w:val="005F3C15"/>
    <w:rsid w:val="006067CC"/>
    <w:rsid w:val="006159DF"/>
    <w:rsid w:val="00634384"/>
    <w:rsid w:val="00665352"/>
    <w:rsid w:val="00667DE4"/>
    <w:rsid w:val="00674EED"/>
    <w:rsid w:val="00691FFB"/>
    <w:rsid w:val="006A47AB"/>
    <w:rsid w:val="006B3CEC"/>
    <w:rsid w:val="006F40AF"/>
    <w:rsid w:val="006F68C0"/>
    <w:rsid w:val="0070238D"/>
    <w:rsid w:val="00705BFA"/>
    <w:rsid w:val="00742DCE"/>
    <w:rsid w:val="00751FFA"/>
    <w:rsid w:val="0075344B"/>
    <w:rsid w:val="00760F0D"/>
    <w:rsid w:val="00773455"/>
    <w:rsid w:val="00776EC8"/>
    <w:rsid w:val="00854F79"/>
    <w:rsid w:val="0089312A"/>
    <w:rsid w:val="00893E9C"/>
    <w:rsid w:val="008A04DC"/>
    <w:rsid w:val="008A24DD"/>
    <w:rsid w:val="008B698F"/>
    <w:rsid w:val="008C7289"/>
    <w:rsid w:val="008F13BF"/>
    <w:rsid w:val="0092497D"/>
    <w:rsid w:val="0094020F"/>
    <w:rsid w:val="00950D58"/>
    <w:rsid w:val="009A76CF"/>
    <w:rsid w:val="009F5EA6"/>
    <w:rsid w:val="00A42F60"/>
    <w:rsid w:val="00A676F9"/>
    <w:rsid w:val="00A93E5A"/>
    <w:rsid w:val="00AE6FE0"/>
    <w:rsid w:val="00AF23CD"/>
    <w:rsid w:val="00B4793C"/>
    <w:rsid w:val="00B81E62"/>
    <w:rsid w:val="00BA6C02"/>
    <w:rsid w:val="00BE484A"/>
    <w:rsid w:val="00BF63B6"/>
    <w:rsid w:val="00C2336B"/>
    <w:rsid w:val="00C24BB3"/>
    <w:rsid w:val="00C54548"/>
    <w:rsid w:val="00C64B54"/>
    <w:rsid w:val="00C65D89"/>
    <w:rsid w:val="00CA7566"/>
    <w:rsid w:val="00CC469A"/>
    <w:rsid w:val="00CD2435"/>
    <w:rsid w:val="00CE7C94"/>
    <w:rsid w:val="00D157BE"/>
    <w:rsid w:val="00D34FB1"/>
    <w:rsid w:val="00D5186D"/>
    <w:rsid w:val="00D647B7"/>
    <w:rsid w:val="00D8143A"/>
    <w:rsid w:val="00DA7969"/>
    <w:rsid w:val="00DB7D03"/>
    <w:rsid w:val="00DD1C33"/>
    <w:rsid w:val="00E026FF"/>
    <w:rsid w:val="00E12608"/>
    <w:rsid w:val="00E17FE7"/>
    <w:rsid w:val="00E31CC5"/>
    <w:rsid w:val="00E34249"/>
    <w:rsid w:val="00E463E9"/>
    <w:rsid w:val="00E64EE5"/>
    <w:rsid w:val="00E700C3"/>
    <w:rsid w:val="00E72F54"/>
    <w:rsid w:val="00EA47E5"/>
    <w:rsid w:val="00EA5B73"/>
    <w:rsid w:val="00EB4B85"/>
    <w:rsid w:val="00ED54B3"/>
    <w:rsid w:val="00EE0160"/>
    <w:rsid w:val="00EE54BE"/>
    <w:rsid w:val="00F110B6"/>
    <w:rsid w:val="00F240FC"/>
    <w:rsid w:val="00F31126"/>
    <w:rsid w:val="00F34C92"/>
    <w:rsid w:val="00F403D9"/>
    <w:rsid w:val="00F41F4E"/>
    <w:rsid w:val="00F576BE"/>
    <w:rsid w:val="00FB0E3C"/>
    <w:rsid w:val="00FB3B08"/>
    <w:rsid w:val="00FF1945"/>
    <w:rsid w:val="014119F3"/>
    <w:rsid w:val="017A5691"/>
    <w:rsid w:val="020211E1"/>
    <w:rsid w:val="03EA1D7D"/>
    <w:rsid w:val="046B351D"/>
    <w:rsid w:val="071719AF"/>
    <w:rsid w:val="07322345"/>
    <w:rsid w:val="0791652A"/>
    <w:rsid w:val="088B30CB"/>
    <w:rsid w:val="09822400"/>
    <w:rsid w:val="09C9573A"/>
    <w:rsid w:val="0B6270BD"/>
    <w:rsid w:val="0B7C0BF0"/>
    <w:rsid w:val="0FCF4987"/>
    <w:rsid w:val="12B6721C"/>
    <w:rsid w:val="13E62E35"/>
    <w:rsid w:val="158352D9"/>
    <w:rsid w:val="15C32EF7"/>
    <w:rsid w:val="15D65341"/>
    <w:rsid w:val="176C3CB9"/>
    <w:rsid w:val="18B01D2E"/>
    <w:rsid w:val="1A4426FE"/>
    <w:rsid w:val="1F3A45D2"/>
    <w:rsid w:val="20F61137"/>
    <w:rsid w:val="213E158B"/>
    <w:rsid w:val="22891207"/>
    <w:rsid w:val="22C205C9"/>
    <w:rsid w:val="22D71F89"/>
    <w:rsid w:val="23154904"/>
    <w:rsid w:val="269B63B7"/>
    <w:rsid w:val="285A5ABB"/>
    <w:rsid w:val="2A494B89"/>
    <w:rsid w:val="2B307145"/>
    <w:rsid w:val="2E6A79CB"/>
    <w:rsid w:val="2F480DAC"/>
    <w:rsid w:val="33AB32FB"/>
    <w:rsid w:val="342B1D46"/>
    <w:rsid w:val="36581519"/>
    <w:rsid w:val="37F25A1B"/>
    <w:rsid w:val="38507FCD"/>
    <w:rsid w:val="3A563FC1"/>
    <w:rsid w:val="3D57464A"/>
    <w:rsid w:val="3D973022"/>
    <w:rsid w:val="40B20635"/>
    <w:rsid w:val="41FE5C91"/>
    <w:rsid w:val="422E75D1"/>
    <w:rsid w:val="42BE4603"/>
    <w:rsid w:val="43ED4BC8"/>
    <w:rsid w:val="443C72F6"/>
    <w:rsid w:val="44B83E7F"/>
    <w:rsid w:val="458A28CE"/>
    <w:rsid w:val="474D674C"/>
    <w:rsid w:val="47CB141F"/>
    <w:rsid w:val="482B7A7B"/>
    <w:rsid w:val="484B7E50"/>
    <w:rsid w:val="4B873A20"/>
    <w:rsid w:val="51034E74"/>
    <w:rsid w:val="51BC6513"/>
    <w:rsid w:val="52C40D02"/>
    <w:rsid w:val="53EC2772"/>
    <w:rsid w:val="556F4A35"/>
    <w:rsid w:val="55E40C52"/>
    <w:rsid w:val="57803ECC"/>
    <w:rsid w:val="57B82A76"/>
    <w:rsid w:val="58166C30"/>
    <w:rsid w:val="5829374F"/>
    <w:rsid w:val="582E7A95"/>
    <w:rsid w:val="5B433325"/>
    <w:rsid w:val="5B511A5E"/>
    <w:rsid w:val="5C5D6D69"/>
    <w:rsid w:val="60297775"/>
    <w:rsid w:val="6052655D"/>
    <w:rsid w:val="639B315F"/>
    <w:rsid w:val="63E64EB7"/>
    <w:rsid w:val="648864E0"/>
    <w:rsid w:val="64DD4813"/>
    <w:rsid w:val="65ED7DD4"/>
    <w:rsid w:val="6CCC660E"/>
    <w:rsid w:val="6CD02EB0"/>
    <w:rsid w:val="6E4749D3"/>
    <w:rsid w:val="6EEE4FB7"/>
    <w:rsid w:val="6F4D6A39"/>
    <w:rsid w:val="71326E06"/>
    <w:rsid w:val="7218194A"/>
    <w:rsid w:val="75023A96"/>
    <w:rsid w:val="775E6625"/>
    <w:rsid w:val="793856C7"/>
    <w:rsid w:val="7B852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5"/>
    <w:basedOn w:val="1"/>
    <w:next w:val="1"/>
    <w:unhideWhenUsed/>
    <w:qFormat/>
    <w:uiPriority w:val="9"/>
    <w:pPr>
      <w:keepNext/>
      <w:keepLines/>
      <w:spacing w:before="280" w:after="290"/>
      <w:outlineLvl w:val="4"/>
    </w:pPr>
    <w:rPr>
      <w:rFonts w:eastAsia="楷体_GB2312"/>
      <w:b/>
      <w:bCs/>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8"/>
    <w:qFormat/>
    <w:uiPriority w:val="99"/>
    <w:pPr>
      <w:spacing w:after="120"/>
    </w:pPr>
  </w:style>
  <w:style w:type="paragraph" w:styleId="3">
    <w:name w:val="Body Text First Indent"/>
    <w:basedOn w:val="2"/>
    <w:next w:val="4"/>
    <w:qFormat/>
    <w:uiPriority w:val="0"/>
    <w:pPr>
      <w:ind w:firstLine="420" w:firstLineChars="100"/>
    </w:pPr>
  </w:style>
  <w:style w:type="paragraph" w:styleId="4">
    <w:name w:val="Title"/>
    <w:basedOn w:val="1"/>
    <w:next w:val="1"/>
    <w:qFormat/>
    <w:uiPriority w:val="0"/>
    <w:pPr>
      <w:jc w:val="center"/>
      <w:outlineLvl w:val="0"/>
    </w:pPr>
    <w:rPr>
      <w:rFonts w:ascii="Arial" w:hAnsi="Arial" w:eastAsia="宋体" w:cs="Times New Roman"/>
      <w:b/>
      <w:sz w:val="32"/>
    </w:rPr>
  </w:style>
  <w:style w:type="paragraph" w:styleId="6">
    <w:name w:val="Date"/>
    <w:basedOn w:val="1"/>
    <w:next w:val="1"/>
    <w:link w:val="19"/>
    <w:qFormat/>
    <w:uiPriority w:val="0"/>
    <w:pPr>
      <w:ind w:left="100" w:leftChars="2500"/>
    </w:pPr>
  </w:style>
  <w:style w:type="paragraph" w:styleId="7">
    <w:name w:val="Balloon Text"/>
    <w:basedOn w:val="1"/>
    <w:link w:val="17"/>
    <w:qFormat/>
    <w:uiPriority w:val="0"/>
    <w:rPr>
      <w:sz w:val="18"/>
      <w:szCs w:val="18"/>
    </w:rPr>
  </w:style>
  <w:style w:type="paragraph" w:styleId="8">
    <w:name w:val="footer"/>
    <w:basedOn w:val="1"/>
    <w:link w:val="16"/>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jc w:val="left"/>
    </w:pPr>
    <w:rPr>
      <w:rFonts w:asciiTheme="minorHAnsi" w:hAnsiTheme="minorHAnsi" w:eastAsiaTheme="minorEastAsia"/>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16"/>
    <w:qFormat/>
    <w:uiPriority w:val="0"/>
    <w:rPr>
      <w:rFonts w:hint="default" w:ascii="Times New Roman" w:hAnsi="Times New Roman" w:cs="Times New Roman"/>
    </w:rPr>
  </w:style>
  <w:style w:type="paragraph" w:styleId="15">
    <w:name w:val="List Paragraph"/>
    <w:basedOn w:val="1"/>
    <w:qFormat/>
    <w:uiPriority w:val="99"/>
    <w:pPr>
      <w:ind w:firstLine="420" w:firstLineChars="200"/>
    </w:pPr>
  </w:style>
  <w:style w:type="character" w:customStyle="1" w:styleId="16">
    <w:name w:val="页脚 Char"/>
    <w:basedOn w:val="13"/>
    <w:link w:val="8"/>
    <w:qFormat/>
    <w:uiPriority w:val="99"/>
    <w:rPr>
      <w:rFonts w:ascii="Calibri" w:hAnsi="Calibri"/>
      <w:kern w:val="2"/>
      <w:sz w:val="18"/>
      <w:szCs w:val="24"/>
    </w:rPr>
  </w:style>
  <w:style w:type="character" w:customStyle="1" w:styleId="17">
    <w:name w:val="批注框文本 Char"/>
    <w:basedOn w:val="13"/>
    <w:link w:val="7"/>
    <w:qFormat/>
    <w:uiPriority w:val="0"/>
    <w:rPr>
      <w:rFonts w:ascii="Calibri" w:hAnsi="Calibri"/>
      <w:kern w:val="2"/>
      <w:sz w:val="18"/>
      <w:szCs w:val="18"/>
    </w:rPr>
  </w:style>
  <w:style w:type="character" w:customStyle="1" w:styleId="18">
    <w:name w:val="正文文本 Char"/>
    <w:basedOn w:val="13"/>
    <w:link w:val="2"/>
    <w:qFormat/>
    <w:uiPriority w:val="99"/>
    <w:rPr>
      <w:rFonts w:ascii="Calibri" w:hAnsi="Calibri"/>
      <w:kern w:val="2"/>
      <w:sz w:val="21"/>
      <w:szCs w:val="24"/>
    </w:rPr>
  </w:style>
  <w:style w:type="character" w:customStyle="1" w:styleId="19">
    <w:name w:val="日期 Char"/>
    <w:basedOn w:val="13"/>
    <w:link w:val="6"/>
    <w:qFormat/>
    <w:uiPriority w:val="0"/>
    <w:rPr>
      <w:rFonts w:ascii="Calibri" w:hAnsi="Calibri"/>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7CDB3-5ED6-4F5E-9F25-6B6F4844715B}">
  <ds:schemaRefs/>
</ds:datastoreItem>
</file>

<file path=docProps/app.xml><?xml version="1.0" encoding="utf-8"?>
<Properties xmlns="http://schemas.openxmlformats.org/officeDocument/2006/extended-properties" xmlns:vt="http://schemas.openxmlformats.org/officeDocument/2006/docPropsVTypes">
  <Template>Normal</Template>
  <Pages>16</Pages>
  <Words>7908</Words>
  <Characters>8461</Characters>
  <Lines>70</Lines>
  <Paragraphs>19</Paragraphs>
  <TotalTime>0</TotalTime>
  <ScaleCrop>false</ScaleCrop>
  <LinksUpToDate>false</LinksUpToDate>
  <CharactersWithSpaces>8474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2021-03-17T03:22:00Z</dcterms:created>
  <dc:creator>青</dc:creator>
  <cp:lastModifiedBy>青</cp:lastModifiedBy>
  <cp:lastPrinted>2022-06-15T05:07:00Z</cp:lastPrinted>
  <dcterms:modified xsi:type="dcterms:W3CDTF">2022-06-28T14:15:43Z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DEF42E164275477DA1B5E0952780F475</vt:lpwstr>
  </property>
</Properties>
</file>