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76" w:lineRule="exact"/>
        <w:textAlignment w:val="auto"/>
        <w:rPr>
          <w:rFonts w:ascii="华文中宋" w:hAnsi="华文中宋" w:eastAsia="华文中宋" w:cs="华文中宋"/>
          <w:b/>
          <w:bCs/>
          <w:color w:val="auto"/>
          <w:sz w:val="44"/>
          <w:szCs w:val="44"/>
          <w:highlight w:val="none"/>
        </w:rPr>
      </w:pPr>
    </w:p>
    <w:p>
      <w:pPr>
        <w:pStyle w:val="2"/>
        <w:pageBreakBefore w:val="0"/>
        <w:widowControl w:val="0"/>
        <w:kinsoku/>
        <w:wordWrap/>
        <w:overflowPunct/>
        <w:topLinePunct w:val="0"/>
        <w:autoSpaceDE/>
        <w:autoSpaceDN/>
        <w:bidi w:val="0"/>
        <w:adjustRightInd/>
        <w:snapToGrid/>
        <w:spacing w:before="0" w:after="0" w:line="576" w:lineRule="exact"/>
        <w:textAlignment w:val="auto"/>
        <w:rPr>
          <w:color w:val="auto"/>
          <w:highlight w:val="none"/>
        </w:rPr>
      </w:pP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华文中宋" w:hAnsi="华文中宋" w:eastAsia="华文中宋" w:cs="华文中宋"/>
          <w:b/>
          <w:bCs/>
          <w:color w:val="auto"/>
          <w:sz w:val="44"/>
          <w:szCs w:val="44"/>
          <w:highlight w:val="none"/>
          <w:lang w:val="en-US" w:eastAsia="zh-CN"/>
        </w:rPr>
      </w:pPr>
      <w:r>
        <w:rPr>
          <w:rFonts w:hint="eastAsia" w:ascii="华文中宋" w:hAnsi="华文中宋" w:eastAsia="华文中宋" w:cs="华文中宋"/>
          <w:b/>
          <w:bCs/>
          <w:color w:val="auto"/>
          <w:sz w:val="44"/>
          <w:szCs w:val="44"/>
          <w:highlight w:val="none"/>
          <w:lang w:val="en-US" w:eastAsia="zh-CN"/>
        </w:rPr>
        <w:t>江西开放大学</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华文中宋" w:hAnsi="华文中宋" w:eastAsia="华文中宋" w:cs="华文中宋"/>
          <w:b/>
          <w:bCs/>
          <w:color w:val="auto"/>
          <w:sz w:val="44"/>
          <w:szCs w:val="44"/>
          <w:highlight w:val="none"/>
        </w:rPr>
      </w:pPr>
      <w:r>
        <w:rPr>
          <w:rFonts w:hint="eastAsia" w:ascii="华文中宋" w:hAnsi="华文中宋" w:eastAsia="华文中宋" w:cs="华文中宋"/>
          <w:b/>
          <w:bCs/>
          <w:color w:val="auto"/>
          <w:sz w:val="44"/>
          <w:szCs w:val="44"/>
          <w:highlight w:val="none"/>
        </w:rPr>
        <w:t>九江</w:t>
      </w:r>
      <w:r>
        <w:rPr>
          <w:rFonts w:hint="eastAsia" w:ascii="华文中宋" w:hAnsi="华文中宋" w:eastAsia="华文中宋" w:cs="华文中宋"/>
          <w:b/>
          <w:bCs/>
          <w:color w:val="auto"/>
          <w:sz w:val="44"/>
          <w:szCs w:val="44"/>
          <w:highlight w:val="none"/>
          <w:lang w:eastAsia="zh-CN"/>
        </w:rPr>
        <w:t>市分校</w:t>
      </w:r>
      <w:r>
        <w:rPr>
          <w:rFonts w:hint="eastAsia" w:ascii="华文中宋" w:hAnsi="华文中宋" w:eastAsia="华文中宋" w:cs="华文中宋"/>
          <w:b/>
          <w:bCs/>
          <w:color w:val="auto"/>
          <w:sz w:val="44"/>
          <w:szCs w:val="44"/>
          <w:highlight w:val="none"/>
        </w:rPr>
        <w:t>2020年度发展报告</w:t>
      </w:r>
    </w:p>
    <w:p>
      <w:pPr>
        <w:pStyle w:val="3"/>
        <w:keepNext w:val="0"/>
        <w:keepLines w:val="0"/>
        <w:pageBreakBefore w:val="0"/>
        <w:widowControl w:val="0"/>
        <w:kinsoku/>
        <w:wordWrap/>
        <w:overflowPunct/>
        <w:topLinePunct w:val="0"/>
        <w:autoSpaceDE/>
        <w:autoSpaceDN/>
        <w:bidi w:val="0"/>
        <w:adjustRightInd/>
        <w:snapToGrid/>
        <w:spacing w:after="0" w:line="576" w:lineRule="exact"/>
        <w:textAlignment w:val="auto"/>
        <w:rPr>
          <w:rFonts w:hint="eastAsia" w:ascii="仿宋" w:hAnsi="仿宋" w:eastAsia="仿宋" w:cs="仿宋"/>
          <w:color w:val="auto"/>
          <w:sz w:val="32"/>
          <w:szCs w:val="32"/>
          <w:highlight w:val="none"/>
        </w:rPr>
      </w:pPr>
    </w:p>
    <w:p>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leftChars="0" w:firstLine="640" w:firstLineChars="200"/>
        <w:jc w:val="both"/>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b w:val="0"/>
          <w:bCs w:val="0"/>
          <w:color w:val="auto"/>
          <w:kern w:val="2"/>
          <w:sz w:val="32"/>
          <w:szCs w:val="32"/>
          <w:highlight w:val="none"/>
          <w:lang w:val="en-US" w:eastAsia="zh-CN" w:bidi="ar-SA"/>
        </w:rPr>
        <w:t>省校重点工作推进情况</w:t>
      </w:r>
    </w:p>
    <w:p>
      <w:pPr>
        <w:pStyle w:val="3"/>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hint="eastAsia" w:ascii="仿宋" w:hAnsi="仿宋" w:eastAsia="仿宋"/>
          <w:color w:val="auto"/>
          <w:sz w:val="32"/>
          <w:szCs w:val="32"/>
          <w:highlight w:val="none"/>
        </w:rPr>
      </w:pPr>
      <w:r>
        <w:rPr>
          <w:rFonts w:hint="eastAsia" w:ascii="仿宋" w:hAnsi="仿宋" w:eastAsia="仿宋" w:cs="仿宋"/>
          <w:b w:val="0"/>
          <w:bCs w:val="0"/>
          <w:strike w:val="0"/>
          <w:dstrike w:val="0"/>
          <w:color w:val="auto"/>
          <w:kern w:val="2"/>
          <w:sz w:val="32"/>
          <w:szCs w:val="32"/>
          <w:highlight w:val="none"/>
          <w:lang w:val="en-US" w:eastAsia="zh-CN" w:bidi="ar-SA"/>
        </w:rPr>
        <w:t>2020年</w:t>
      </w:r>
      <w:r>
        <w:rPr>
          <w:rFonts w:hint="eastAsia" w:ascii="仿宋" w:hAnsi="仿宋" w:eastAsia="仿宋" w:cs="仿宋"/>
          <w:b w:val="0"/>
          <w:bCs w:val="0"/>
          <w:strike w:val="0"/>
          <w:dstrike w:val="0"/>
          <w:color w:val="auto"/>
          <w:kern w:val="2"/>
          <w:sz w:val="32"/>
          <w:szCs w:val="32"/>
          <w:highlight w:val="none"/>
          <w:lang w:val="en-US" w:eastAsia="zh-CN" w:bidi="ar-SA"/>
        </w:rPr>
        <w:t>九江市分校围绕省校重点工作，着力推进三大工作：</w:t>
      </w:r>
      <w:r>
        <w:rPr>
          <w:rFonts w:hint="eastAsia" w:ascii="仿宋" w:hAnsi="仿宋" w:eastAsia="仿宋"/>
          <w:color w:val="auto"/>
          <w:sz w:val="32"/>
          <w:szCs w:val="32"/>
          <w:highlight w:val="none"/>
        </w:rPr>
        <w:t>一是坚持立德树人，推进社会主义核心价值观和思想品德教育进教材、进课堂、进头脑，增强学生社会责任感、创新精神和实践能力；二是办好</w:t>
      </w:r>
      <w:r>
        <w:rPr>
          <w:rFonts w:hint="eastAsia" w:ascii="仿宋" w:hAnsi="仿宋" w:eastAsia="仿宋"/>
          <w:color w:val="auto"/>
          <w:sz w:val="32"/>
          <w:szCs w:val="32"/>
          <w:highlight w:val="none"/>
          <w:lang w:eastAsia="zh-CN"/>
        </w:rPr>
        <w:t>开放</w:t>
      </w:r>
      <w:r>
        <w:rPr>
          <w:rFonts w:hint="eastAsia" w:ascii="仿宋" w:hAnsi="仿宋" w:eastAsia="仿宋"/>
          <w:color w:val="auto"/>
          <w:sz w:val="32"/>
          <w:szCs w:val="32"/>
          <w:highlight w:val="none"/>
        </w:rPr>
        <w:t>教育</w:t>
      </w:r>
      <w:r>
        <w:rPr>
          <w:rFonts w:hint="eastAsia" w:ascii="仿宋" w:hAnsi="仿宋" w:eastAsia="仿宋"/>
          <w:color w:val="auto"/>
          <w:sz w:val="32"/>
          <w:szCs w:val="32"/>
          <w:highlight w:val="none"/>
          <w:lang w:eastAsia="zh-CN"/>
        </w:rPr>
        <w:t>和</w:t>
      </w:r>
      <w:r>
        <w:rPr>
          <w:rFonts w:hint="eastAsia" w:ascii="仿宋" w:hAnsi="仿宋" w:eastAsia="仿宋"/>
          <w:color w:val="auto"/>
          <w:sz w:val="32"/>
          <w:szCs w:val="32"/>
          <w:highlight w:val="none"/>
        </w:rPr>
        <w:t>高职教育</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提高教师教学水平和服务水平，实施开放教育创优提质战略，确立教学工作的中心地位，落实“治招、治学、治考”综合治理工程；三是推进学习型社会建设，积极争取政府的支持</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办好社区教育和老年教育，继续高质量完成非学历职业培训。</w:t>
      </w:r>
    </w:p>
    <w:p>
      <w:pPr>
        <w:keepNext w:val="0"/>
        <w:keepLines w:val="0"/>
        <w:pageBreakBefore w:val="0"/>
        <w:widowControl w:val="0"/>
        <w:kinsoku/>
        <w:wordWrap/>
        <w:overflowPunct/>
        <w:topLinePunct w:val="0"/>
        <w:autoSpaceDE/>
        <w:autoSpaceDN/>
        <w:bidi w:val="0"/>
        <w:spacing w:line="576" w:lineRule="exact"/>
        <w:ind w:firstLine="640" w:firstLineChars="200"/>
        <w:textAlignment w:val="auto"/>
        <w:rPr>
          <w:rFonts w:ascii="仿宋" w:hAnsi="仿宋" w:eastAsia="仿宋" w:cs="仿宋"/>
          <w:color w:val="auto"/>
          <w:sz w:val="32"/>
          <w:szCs w:val="32"/>
          <w:highlight w:val="none"/>
        </w:rPr>
      </w:pPr>
      <w:bookmarkStart w:id="0" w:name="_Toc40173461"/>
      <w:r>
        <w:rPr>
          <w:rFonts w:hint="eastAsia" w:ascii="黑体" w:hAnsi="黑体" w:eastAsia="黑体" w:cs="黑体"/>
          <w:color w:val="auto"/>
          <w:sz w:val="32"/>
          <w:szCs w:val="32"/>
          <w:highlight w:val="none"/>
        </w:rPr>
        <w:t>二、人才培养</w:t>
      </w:r>
      <w:bookmarkEnd w:id="0"/>
    </w:p>
    <w:p>
      <w:pPr>
        <w:keepNext w:val="0"/>
        <w:keepLines w:val="0"/>
        <w:pageBreakBefore w:val="0"/>
        <w:widowControl w:val="0"/>
        <w:kinsoku/>
        <w:wordWrap/>
        <w:overflowPunct/>
        <w:topLinePunct w:val="0"/>
        <w:autoSpaceDE/>
        <w:autoSpaceDN/>
        <w:bidi w:val="0"/>
        <w:adjustRightInd w:val="0"/>
        <w:snapToGrid w:val="0"/>
        <w:spacing w:line="576" w:lineRule="exact"/>
        <w:ind w:firstLine="736" w:firstLineChars="230"/>
        <w:textAlignment w:val="auto"/>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(一)学历教育整体培养情况</w:t>
      </w:r>
    </w:p>
    <w:p>
      <w:pPr>
        <w:pStyle w:val="3"/>
        <w:keepNext w:val="0"/>
        <w:keepLines w:val="0"/>
        <w:pageBreakBefore w:val="0"/>
        <w:widowControl w:val="0"/>
        <w:kinsoku/>
        <w:wordWrap/>
        <w:overflowPunct/>
        <w:topLinePunct w:val="0"/>
        <w:autoSpaceDE/>
        <w:autoSpaceDN/>
        <w:bidi w:val="0"/>
        <w:spacing w:after="0" w:line="576" w:lineRule="exact"/>
        <w:ind w:firstLine="640" w:firstLineChars="200"/>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2020年各类</w:t>
      </w:r>
      <w:r>
        <w:rPr>
          <w:rFonts w:hint="eastAsia" w:ascii="仿宋" w:hAnsi="仿宋" w:eastAsia="仿宋" w:cs="仿宋"/>
          <w:color w:val="auto"/>
          <w:sz w:val="32"/>
          <w:szCs w:val="32"/>
          <w:highlight w:val="none"/>
          <w:lang w:val="en-US" w:eastAsia="zh-CN"/>
        </w:rPr>
        <w:t>在籍（校）</w:t>
      </w:r>
      <w:r>
        <w:rPr>
          <w:rFonts w:hint="eastAsia" w:ascii="仿宋" w:hAnsi="仿宋" w:eastAsia="仿宋" w:cs="仿宋"/>
          <w:color w:val="auto"/>
          <w:sz w:val="32"/>
          <w:szCs w:val="32"/>
          <w:highlight w:val="none"/>
        </w:rPr>
        <w:t>生</w:t>
      </w:r>
      <w:r>
        <w:rPr>
          <w:rFonts w:hint="eastAsia" w:ascii="仿宋" w:hAnsi="仿宋" w:eastAsia="仿宋" w:cs="仿宋"/>
          <w:color w:val="auto"/>
          <w:sz w:val="32"/>
          <w:szCs w:val="32"/>
          <w:highlight w:val="none"/>
          <w:lang w:val="en-US" w:eastAsia="zh-CN"/>
        </w:rPr>
        <w:t>21180</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val="en-US" w:eastAsia="zh-CN"/>
        </w:rPr>
        <w:t>同比</w:t>
      </w:r>
      <w:r>
        <w:rPr>
          <w:rFonts w:hint="eastAsia" w:ascii="仿宋" w:hAnsi="仿宋" w:eastAsia="仿宋" w:cs="仿宋"/>
          <w:color w:val="auto"/>
          <w:sz w:val="32"/>
          <w:szCs w:val="32"/>
          <w:highlight w:val="none"/>
        </w:rPr>
        <w:t>增加</w:t>
      </w:r>
      <w:r>
        <w:rPr>
          <w:rFonts w:hint="eastAsia" w:ascii="仿宋" w:hAnsi="仿宋" w:eastAsia="仿宋" w:cs="仿宋"/>
          <w:color w:val="auto"/>
          <w:sz w:val="32"/>
          <w:szCs w:val="32"/>
          <w:highlight w:val="none"/>
          <w:lang w:val="en-US" w:eastAsia="zh-CN"/>
        </w:rPr>
        <w:t>32.67</w:t>
      </w:r>
      <w:r>
        <w:rPr>
          <w:rFonts w:hint="eastAsia" w:ascii="仿宋" w:hAnsi="仿宋" w:eastAsia="仿宋" w:cs="仿宋"/>
          <w:color w:val="auto"/>
          <w:sz w:val="32"/>
          <w:szCs w:val="32"/>
          <w:highlight w:val="none"/>
        </w:rPr>
        <w:t>%；共培养各类</w:t>
      </w:r>
      <w:r>
        <w:rPr>
          <w:rFonts w:hint="eastAsia" w:ascii="仿宋" w:hAnsi="仿宋" w:eastAsia="仿宋" w:cs="仿宋"/>
          <w:color w:val="auto"/>
          <w:sz w:val="32"/>
          <w:szCs w:val="32"/>
          <w:highlight w:val="none"/>
        </w:rPr>
        <w:t>毕业生</w:t>
      </w:r>
      <w:r>
        <w:rPr>
          <w:rFonts w:hint="eastAsia" w:ascii="仿宋" w:hAnsi="仿宋" w:eastAsia="仿宋" w:cs="仿宋"/>
          <w:color w:val="auto"/>
          <w:sz w:val="32"/>
          <w:szCs w:val="32"/>
          <w:highlight w:val="none"/>
          <w:lang w:val="en-US" w:eastAsia="zh-CN"/>
        </w:rPr>
        <w:t>4622</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同比</w:t>
      </w:r>
      <w:r>
        <w:rPr>
          <w:rFonts w:hint="eastAsia" w:ascii="仿宋" w:hAnsi="仿宋" w:eastAsia="仿宋" w:cs="仿宋"/>
          <w:color w:val="auto"/>
          <w:sz w:val="32"/>
          <w:szCs w:val="32"/>
          <w:highlight w:val="none"/>
        </w:rPr>
        <w:t>增加</w:t>
      </w:r>
      <w:r>
        <w:rPr>
          <w:rFonts w:hint="eastAsia" w:ascii="仿宋" w:hAnsi="仿宋" w:eastAsia="仿宋" w:cs="仿宋"/>
          <w:color w:val="auto"/>
          <w:sz w:val="32"/>
          <w:szCs w:val="32"/>
          <w:highlight w:val="none"/>
          <w:lang w:val="en-US" w:eastAsia="zh-CN"/>
        </w:rPr>
        <w:t>4.78</w:t>
      </w:r>
      <w:r>
        <w:rPr>
          <w:rFonts w:hint="eastAsia" w:ascii="仿宋" w:hAnsi="仿宋" w:eastAsia="仿宋" w:cs="仿宋"/>
          <w:color w:val="auto"/>
          <w:sz w:val="32"/>
          <w:szCs w:val="32"/>
          <w:highlight w:val="none"/>
        </w:rPr>
        <w:t>%。</w:t>
      </w:r>
    </w:p>
    <w:p>
      <w:pPr>
        <w:keepNext w:val="0"/>
        <w:keepLines w:val="0"/>
        <w:pageBreakBefore w:val="0"/>
        <w:widowControl w:val="0"/>
        <w:kinsoku/>
        <w:wordWrap/>
        <w:overflowPunct/>
        <w:topLinePunct w:val="0"/>
        <w:autoSpaceDE/>
        <w:autoSpaceDN/>
        <w:bidi w:val="0"/>
        <w:spacing w:line="576" w:lineRule="exact"/>
        <w:ind w:firstLine="640" w:firstLineChars="200"/>
        <w:textAlignment w:val="auto"/>
        <w:rPr>
          <w:rFonts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1.高等学历继续教育</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both"/>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2020年共有开放教育在籍生20537人，同比</w:t>
      </w:r>
      <w:r>
        <w:rPr>
          <w:rFonts w:hint="eastAsia" w:ascii="仿宋" w:hAnsi="仿宋" w:eastAsia="仿宋" w:cs="仿宋"/>
          <w:color w:val="auto"/>
          <w:sz w:val="32"/>
          <w:szCs w:val="32"/>
          <w:highlight w:val="none"/>
          <w:u w:val="none"/>
          <w:lang w:val="en-US" w:eastAsia="zh-CN"/>
        </w:rPr>
        <w:t>增加32.95%。其中，本科4309人，占比20.98</w:t>
      </w:r>
      <w:r>
        <w:rPr>
          <w:rStyle w:val="8"/>
          <w:rFonts w:ascii="仿宋" w:hAnsi="仿宋" w:eastAsia="仿宋"/>
          <w:color w:val="auto"/>
          <w:sz w:val="28"/>
          <w:szCs w:val="28"/>
          <w:highlight w:val="none"/>
          <w:u w:val="none"/>
          <w:shd w:val="clear" w:color="auto" w:fill="FFFFFF"/>
        </w:rPr>
        <w:t>%</w:t>
      </w:r>
      <w:r>
        <w:rPr>
          <w:rStyle w:val="8"/>
          <w:rFonts w:hint="eastAsia" w:ascii="仿宋" w:hAnsi="仿宋" w:eastAsia="仿宋"/>
          <w:color w:val="auto"/>
          <w:sz w:val="28"/>
          <w:szCs w:val="28"/>
          <w:highlight w:val="none"/>
          <w:u w:val="none"/>
          <w:shd w:val="clear" w:color="auto" w:fill="FFFFFF"/>
          <w:lang w:eastAsia="zh-CN"/>
        </w:rPr>
        <w:t>；</w:t>
      </w:r>
      <w:r>
        <w:rPr>
          <w:rFonts w:hint="eastAsia" w:ascii="仿宋" w:hAnsi="仿宋" w:eastAsia="仿宋" w:cs="仿宋"/>
          <w:color w:val="auto"/>
          <w:sz w:val="32"/>
          <w:szCs w:val="32"/>
          <w:highlight w:val="none"/>
          <w:u w:val="none"/>
          <w:lang w:val="en-US" w:eastAsia="zh-CN"/>
        </w:rPr>
        <w:t>专科16228人，占比79.02</w:t>
      </w:r>
      <w:r>
        <w:rPr>
          <w:rStyle w:val="8"/>
          <w:rFonts w:ascii="仿宋" w:hAnsi="仿宋" w:eastAsia="仿宋"/>
          <w:color w:val="auto"/>
          <w:sz w:val="28"/>
          <w:szCs w:val="28"/>
          <w:highlight w:val="none"/>
          <w:u w:val="none"/>
          <w:shd w:val="clear" w:color="auto" w:fill="FFFFFF"/>
        </w:rPr>
        <w:t>%</w:t>
      </w:r>
      <w:r>
        <w:rPr>
          <w:rFonts w:hint="eastAsia" w:ascii="仿宋" w:hAnsi="仿宋" w:eastAsia="仿宋" w:cs="仿宋"/>
          <w:color w:val="auto"/>
          <w:sz w:val="32"/>
          <w:szCs w:val="32"/>
          <w:highlight w:val="none"/>
          <w:u w:val="none"/>
          <w:lang w:val="en-US" w:eastAsia="zh-CN"/>
        </w:rPr>
        <w:t>。2020年共培养开放教育毕业生4622人。其中，本科1372人，占比29.68%；专科3250人，占比70.32%。学校未开展成人高等专科教育。</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outlineLvl w:val="2"/>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2.高等职业教育（扩招）</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u w:val="none"/>
          <w:lang w:val="en-US" w:eastAsia="zh-CN"/>
        </w:rPr>
        <w:t>2020年共有高等职业教育（扩招）在校生643人（含2020年招录人数），同比增加24.37%。</w:t>
      </w:r>
    </w:p>
    <w:p>
      <w:pPr>
        <w:widowControl/>
        <w:adjustRightInd w:val="0"/>
        <w:snapToGrid w:val="0"/>
        <w:spacing w:line="5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表2-1</w:t>
      </w:r>
      <w:r>
        <w:rPr>
          <w:rFonts w:hint="eastAsia" w:ascii="仿宋" w:hAnsi="仿宋" w:eastAsia="仿宋" w:cs="仿宋"/>
          <w:color w:val="auto"/>
          <w:kern w:val="0"/>
          <w:sz w:val="28"/>
          <w:szCs w:val="28"/>
          <w:highlight w:val="none"/>
          <w:lang w:val="en-US" w:eastAsia="zh-CN"/>
        </w:rPr>
        <w:t xml:space="preserve"> </w:t>
      </w:r>
      <w:r>
        <w:rPr>
          <w:rFonts w:hint="eastAsia" w:ascii="仿宋" w:hAnsi="仿宋" w:eastAsia="仿宋" w:cs="仿宋"/>
          <w:color w:val="auto"/>
          <w:kern w:val="0"/>
          <w:sz w:val="28"/>
          <w:szCs w:val="28"/>
          <w:highlight w:val="none"/>
        </w:rPr>
        <w:t>2020年度学历教育</w:t>
      </w:r>
      <w:r>
        <w:rPr>
          <w:rFonts w:hint="eastAsia" w:ascii="仿宋" w:hAnsi="仿宋" w:eastAsia="仿宋" w:cs="仿宋"/>
          <w:color w:val="auto"/>
          <w:kern w:val="0"/>
          <w:sz w:val="28"/>
          <w:szCs w:val="28"/>
          <w:highlight w:val="none"/>
          <w:lang w:eastAsia="zh-CN"/>
        </w:rPr>
        <w:t>在籍（校）</w:t>
      </w:r>
      <w:r>
        <w:rPr>
          <w:rFonts w:hint="eastAsia" w:ascii="仿宋" w:hAnsi="仿宋" w:eastAsia="仿宋" w:cs="仿宋"/>
          <w:color w:val="auto"/>
          <w:kern w:val="0"/>
          <w:sz w:val="28"/>
          <w:szCs w:val="28"/>
          <w:highlight w:val="none"/>
        </w:rPr>
        <w:t>生人数</w:t>
      </w:r>
    </w:p>
    <w:tbl>
      <w:tblPr>
        <w:tblStyle w:val="6"/>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397"/>
        <w:gridCol w:w="1850"/>
        <w:gridCol w:w="1967"/>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exact"/>
          <w:jc w:val="center"/>
        </w:trPr>
        <w:tc>
          <w:tcPr>
            <w:tcW w:w="122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层次</w:t>
            </w:r>
          </w:p>
        </w:tc>
        <w:tc>
          <w:tcPr>
            <w:tcW w:w="139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类型</w:t>
            </w:r>
          </w:p>
        </w:tc>
        <w:tc>
          <w:tcPr>
            <w:tcW w:w="185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eastAsia="zh-CN"/>
              </w:rPr>
              <w:t>在籍（校）</w:t>
            </w:r>
            <w:r>
              <w:rPr>
                <w:rFonts w:hint="eastAsia" w:ascii="仿宋" w:hAnsi="仿宋" w:eastAsia="仿宋" w:cs="仿宋"/>
                <w:color w:val="auto"/>
                <w:kern w:val="0"/>
                <w:sz w:val="28"/>
                <w:szCs w:val="28"/>
                <w:highlight w:val="none"/>
              </w:rPr>
              <w:t>生人数</w:t>
            </w:r>
          </w:p>
        </w:tc>
        <w:tc>
          <w:tcPr>
            <w:tcW w:w="196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本年度</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招生人数</w:t>
            </w:r>
          </w:p>
        </w:tc>
        <w:tc>
          <w:tcPr>
            <w:tcW w:w="228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本年度</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本科</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开放本科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4309</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1722</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1372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restart"/>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专科</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开放专科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16228</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7800</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成人专科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w:t>
            </w:r>
          </w:p>
        </w:tc>
        <w:tc>
          <w:tcPr>
            <w:tcW w:w="2283" w:type="dxa"/>
            <w:vAlign w:val="center"/>
          </w:tcPr>
          <w:p>
            <w:pPr>
              <w:keepNext w:val="0"/>
              <w:keepLines w:val="0"/>
              <w:pageBreakBefore w:val="0"/>
              <w:widowControl/>
              <w:suppressLineNumbers w:val="0"/>
              <w:kinsoku/>
              <w:wordWrap/>
              <w:overflowPunct/>
              <w:topLinePunct w:val="0"/>
              <w:autoSpaceDE/>
              <w:autoSpaceDN/>
              <w:bidi w:val="0"/>
              <w:spacing w:line="360" w:lineRule="exact"/>
              <w:jc w:val="center"/>
              <w:textAlignment w:val="center"/>
              <w:rPr>
                <w:rFonts w:hint="eastAsia" w:ascii="宋体" w:hAnsi="宋体" w:eastAsia="宋体" w:cs="宋体"/>
                <w:i w:val="0"/>
                <w:color w:val="auto"/>
                <w:kern w:val="2"/>
                <w:sz w:val="28"/>
                <w:szCs w:val="28"/>
                <w:highlight w:val="none"/>
                <w:u w:val="none"/>
                <w:lang w:val="en-US" w:eastAsia="zh-CN" w:bidi="ar-SA"/>
              </w:rPr>
            </w:pPr>
            <w:r>
              <w:rPr>
                <w:rFonts w:hint="eastAsia" w:ascii="仿宋" w:hAnsi="仿宋" w:eastAsia="仿宋" w:cs="仿宋"/>
                <w:color w:val="auto"/>
                <w:kern w:val="0"/>
                <w:sz w:val="28"/>
                <w:szCs w:val="2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高职扩招</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643</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126</w:t>
            </w:r>
          </w:p>
        </w:tc>
        <w:tc>
          <w:tcPr>
            <w:tcW w:w="2283" w:type="dxa"/>
            <w:vAlign w:val="center"/>
          </w:tcPr>
          <w:p>
            <w:pPr>
              <w:keepNext w:val="0"/>
              <w:keepLines w:val="0"/>
              <w:pageBreakBefore w:val="0"/>
              <w:widowControl/>
              <w:suppressLineNumbers w:val="0"/>
              <w:kinsoku/>
              <w:wordWrap/>
              <w:overflowPunct/>
              <w:topLinePunct w:val="0"/>
              <w:autoSpaceDE/>
              <w:autoSpaceDN/>
              <w:bidi w:val="0"/>
              <w:spacing w:line="360" w:lineRule="exact"/>
              <w:jc w:val="center"/>
              <w:textAlignment w:val="center"/>
              <w:rPr>
                <w:rFonts w:hint="eastAsia" w:ascii="宋体" w:hAnsi="宋体" w:eastAsia="宋体" w:cs="宋体"/>
                <w:i w:val="0"/>
                <w:color w:val="auto"/>
                <w:kern w:val="2"/>
                <w:sz w:val="28"/>
                <w:szCs w:val="28"/>
                <w:highlight w:val="none"/>
                <w:u w:val="none"/>
                <w:lang w:val="en-US" w:eastAsia="zh-CN" w:bidi="ar-SA"/>
              </w:rPr>
            </w:pPr>
            <w:r>
              <w:rPr>
                <w:rFonts w:hint="eastAsia" w:ascii="仿宋" w:hAnsi="仿宋" w:eastAsia="仿宋" w:cs="仿宋"/>
                <w:color w:val="auto"/>
                <w:kern w:val="0"/>
                <w:sz w:val="28"/>
                <w:szCs w:val="2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中专</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成人中专</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24" w:type="dxa"/>
            <w:gridSpan w:val="2"/>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合计</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21180</w:t>
            </w:r>
          </w:p>
        </w:tc>
        <w:tc>
          <w:tcPr>
            <w:tcW w:w="1967" w:type="dxa"/>
            <w:vAlign w:val="center"/>
          </w:tcPr>
          <w:p>
            <w:pPr>
              <w:keepNext w:val="0"/>
              <w:keepLines w:val="0"/>
              <w:pageBreakBefore w:val="0"/>
              <w:widowControl/>
              <w:suppressLineNumbers w:val="0"/>
              <w:kinsoku/>
              <w:wordWrap/>
              <w:overflowPunct/>
              <w:topLinePunct w:val="0"/>
              <w:autoSpaceDE/>
              <w:autoSpaceDN/>
              <w:bidi w:val="0"/>
              <w:spacing w:line="360" w:lineRule="exact"/>
              <w:jc w:val="center"/>
              <w:textAlignment w:val="center"/>
              <w:rPr>
                <w:rFonts w:hint="eastAsia" w:ascii="仿宋" w:hAnsi="仿宋" w:eastAsia="仿宋" w:cs="仿宋"/>
                <w:i w:val="0"/>
                <w:color w:val="auto"/>
                <w:kern w:val="2"/>
                <w:sz w:val="28"/>
                <w:szCs w:val="28"/>
                <w:highlight w:val="none"/>
                <w:u w:val="none"/>
                <w:lang w:val="en-US" w:eastAsia="zh-CN" w:bidi="ar-SA"/>
              </w:rPr>
            </w:pPr>
            <w:r>
              <w:rPr>
                <w:rFonts w:hint="eastAsia" w:ascii="仿宋" w:hAnsi="仿宋" w:eastAsia="仿宋" w:cs="仿宋"/>
                <w:i w:val="0"/>
                <w:color w:val="auto"/>
                <w:kern w:val="0"/>
                <w:sz w:val="28"/>
                <w:szCs w:val="28"/>
                <w:highlight w:val="none"/>
                <w:u w:val="none"/>
                <w:lang w:val="en-US" w:eastAsia="zh-CN" w:bidi="ar"/>
              </w:rPr>
              <w:t>9648</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24" w:type="dxa"/>
            <w:gridSpan w:val="2"/>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合计全省排名</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w:t>
            </w:r>
          </w:p>
        </w:tc>
      </w:tr>
    </w:tbl>
    <w:p>
      <w:pPr>
        <w:keepNext w:val="0"/>
        <w:keepLines w:val="0"/>
        <w:pageBreakBefore w:val="0"/>
        <w:kinsoku/>
        <w:wordWrap/>
        <w:overflowPunct/>
        <w:topLinePunct w:val="0"/>
        <w:autoSpaceDE/>
        <w:autoSpaceDN/>
        <w:bidi w:val="0"/>
        <w:adjustRightInd w:val="0"/>
        <w:snapToGrid w:val="0"/>
        <w:spacing w:line="576" w:lineRule="exact"/>
        <w:ind w:firstLine="736" w:firstLineChars="230"/>
        <w:textAlignment w:val="auto"/>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（二）非学历教育整体培养情况</w:t>
      </w:r>
    </w:p>
    <w:p>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eastAsia" w:ascii="仿宋" w:hAnsi="仿宋" w:eastAsia="仿宋" w:cs="仿宋"/>
          <w:color w:val="auto"/>
          <w:kern w:val="0"/>
          <w:sz w:val="28"/>
          <w:szCs w:val="28"/>
          <w:highlight w:val="none"/>
          <w:u w:val="none"/>
        </w:rPr>
      </w:pPr>
      <w:r>
        <w:rPr>
          <w:rFonts w:hint="eastAsia" w:ascii="仿宋" w:hAnsi="仿宋" w:eastAsia="仿宋" w:cs="仿宋"/>
          <w:b w:val="0"/>
          <w:bCs w:val="0"/>
          <w:color w:val="auto"/>
          <w:kern w:val="2"/>
          <w:sz w:val="32"/>
          <w:szCs w:val="32"/>
          <w:highlight w:val="none"/>
          <w:u w:val="none"/>
          <w:lang w:val="en-US" w:eastAsia="zh-CN" w:bidi="ar-SA"/>
        </w:rPr>
        <w:t>2020年</w:t>
      </w:r>
      <w:r>
        <w:rPr>
          <w:rFonts w:hint="default" w:ascii="仿宋" w:hAnsi="仿宋" w:eastAsia="仿宋" w:cs="仿宋"/>
          <w:color w:val="auto"/>
          <w:sz w:val="32"/>
          <w:szCs w:val="32"/>
          <w:highlight w:val="none"/>
          <w:u w:val="none"/>
          <w:lang w:val="en-US" w:eastAsia="zh-CN"/>
        </w:rPr>
        <w:t>开设非学历继续教育培训班</w:t>
      </w:r>
      <w:r>
        <w:rPr>
          <w:rFonts w:hint="eastAsia" w:ascii="仿宋" w:hAnsi="仿宋" w:eastAsia="仿宋" w:cs="仿宋"/>
          <w:color w:val="auto"/>
          <w:sz w:val="32"/>
          <w:szCs w:val="32"/>
          <w:highlight w:val="none"/>
          <w:u w:val="none"/>
          <w:lang w:val="en-US" w:eastAsia="zh-CN"/>
        </w:rPr>
        <w:t>12</w:t>
      </w:r>
      <w:r>
        <w:rPr>
          <w:rFonts w:hint="default" w:ascii="仿宋" w:hAnsi="仿宋" w:eastAsia="仿宋" w:cs="仿宋"/>
          <w:color w:val="auto"/>
          <w:sz w:val="32"/>
          <w:szCs w:val="32"/>
          <w:highlight w:val="none"/>
          <w:u w:val="none"/>
          <w:lang w:val="en-US" w:eastAsia="zh-CN"/>
        </w:rPr>
        <w:t>个</w:t>
      </w:r>
      <w:r>
        <w:rPr>
          <w:rFonts w:hint="eastAsia" w:ascii="仿宋" w:hAnsi="仿宋" w:eastAsia="仿宋" w:cs="仿宋"/>
          <w:color w:val="auto"/>
          <w:sz w:val="32"/>
          <w:szCs w:val="32"/>
          <w:highlight w:val="none"/>
          <w:u w:val="none"/>
          <w:lang w:val="en-US" w:eastAsia="zh-CN"/>
        </w:rPr>
        <w:t>班次</w:t>
      </w:r>
      <w:r>
        <w:rPr>
          <w:rFonts w:hint="default" w:ascii="仿宋" w:hAnsi="仿宋" w:eastAsia="仿宋" w:cs="仿宋"/>
          <w:color w:val="auto"/>
          <w:sz w:val="32"/>
          <w:szCs w:val="32"/>
          <w:highlight w:val="none"/>
          <w:u w:val="none"/>
          <w:lang w:val="en-US" w:eastAsia="zh-CN"/>
        </w:rPr>
        <w:t>，培训规模达</w:t>
      </w:r>
      <w:r>
        <w:rPr>
          <w:rFonts w:hint="eastAsia" w:ascii="仿宋" w:hAnsi="仿宋" w:eastAsia="仿宋" w:cs="仿宋"/>
          <w:color w:val="auto"/>
          <w:sz w:val="32"/>
          <w:szCs w:val="32"/>
          <w:highlight w:val="none"/>
          <w:u w:val="none"/>
          <w:lang w:val="en-US" w:eastAsia="zh-CN"/>
        </w:rPr>
        <w:t>6614</w:t>
      </w:r>
      <w:r>
        <w:rPr>
          <w:rFonts w:hint="default" w:ascii="仿宋" w:hAnsi="仿宋" w:eastAsia="仿宋" w:cs="仿宋"/>
          <w:color w:val="auto"/>
          <w:sz w:val="32"/>
          <w:szCs w:val="32"/>
          <w:highlight w:val="none"/>
          <w:u w:val="none"/>
          <w:lang w:val="en-US" w:eastAsia="zh-CN"/>
        </w:rPr>
        <w:t>人次</w:t>
      </w:r>
      <w:r>
        <w:rPr>
          <w:rFonts w:hint="eastAsia" w:ascii="仿宋" w:hAnsi="仿宋" w:eastAsia="仿宋" w:cs="仿宋"/>
          <w:color w:val="auto"/>
          <w:sz w:val="32"/>
          <w:szCs w:val="32"/>
          <w:highlight w:val="none"/>
          <w:u w:val="none"/>
          <w:lang w:val="en-US" w:eastAsia="zh-CN"/>
        </w:rPr>
        <w:t>，</w:t>
      </w:r>
      <w:r>
        <w:rPr>
          <w:rFonts w:hint="eastAsia" w:ascii="仿宋" w:hAnsi="仿宋" w:eastAsia="仿宋" w:cs="仿宋"/>
          <w:color w:val="auto"/>
          <w:kern w:val="0"/>
          <w:sz w:val="32"/>
          <w:szCs w:val="32"/>
          <w:highlight w:val="none"/>
          <w:u w:val="none"/>
          <w:lang w:val="en-US" w:eastAsia="zh-CN" w:bidi="ar"/>
        </w:rPr>
        <w:t>同比增长</w:t>
      </w:r>
      <w:r>
        <w:rPr>
          <w:rFonts w:hint="eastAsia" w:ascii="仿宋" w:hAnsi="仿宋" w:eastAsia="仿宋" w:cs="仿宋"/>
          <w:color w:val="auto"/>
          <w:sz w:val="32"/>
          <w:szCs w:val="32"/>
          <w:highlight w:val="none"/>
          <w:u w:val="none"/>
          <w:lang w:val="en-US" w:eastAsia="zh-CN"/>
        </w:rPr>
        <w:t>17.9</w:t>
      </w:r>
      <w:r>
        <w:rPr>
          <w:rFonts w:ascii="仿宋" w:hAnsi="仿宋" w:eastAsia="仿宋" w:cs="仿宋"/>
          <w:color w:val="auto"/>
          <w:kern w:val="0"/>
          <w:sz w:val="32"/>
          <w:szCs w:val="32"/>
          <w:highlight w:val="none"/>
          <w:u w:val="none"/>
          <w:lang w:val="en-US" w:eastAsia="zh-CN" w:bidi="ar"/>
        </w:rPr>
        <w:t>%</w:t>
      </w:r>
      <w:r>
        <w:rPr>
          <w:rFonts w:hint="default" w:ascii="仿宋" w:hAnsi="仿宋" w:eastAsia="仿宋" w:cs="仿宋"/>
          <w:color w:val="auto"/>
          <w:sz w:val="32"/>
          <w:szCs w:val="32"/>
          <w:highlight w:val="none"/>
          <w:u w:val="none"/>
          <w:lang w:val="en-US" w:eastAsia="zh-CN"/>
        </w:rPr>
        <w:t>。</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表2-2 2020年度非学历教育情况</w:t>
      </w:r>
    </w:p>
    <w:tbl>
      <w:tblPr>
        <w:tblStyle w:val="5"/>
        <w:tblW w:w="8580" w:type="dxa"/>
        <w:jc w:val="center"/>
        <w:tblLayout w:type="fixed"/>
        <w:tblCellMar>
          <w:top w:w="0" w:type="dxa"/>
          <w:left w:w="108" w:type="dxa"/>
          <w:bottom w:w="0" w:type="dxa"/>
          <w:right w:w="108" w:type="dxa"/>
        </w:tblCellMar>
      </w:tblPr>
      <w:tblGrid>
        <w:gridCol w:w="752"/>
        <w:gridCol w:w="1379"/>
        <w:gridCol w:w="4689"/>
        <w:gridCol w:w="859"/>
        <w:gridCol w:w="901"/>
      </w:tblGrid>
      <w:tr>
        <w:tblPrEx>
          <w:tblCellMar>
            <w:top w:w="0" w:type="dxa"/>
            <w:left w:w="108" w:type="dxa"/>
            <w:bottom w:w="0" w:type="dxa"/>
            <w:right w:w="108" w:type="dxa"/>
          </w:tblCellMar>
        </w:tblPrEx>
        <w:trPr>
          <w:trHeight w:val="732"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序号</w:t>
            </w:r>
          </w:p>
        </w:tc>
        <w:tc>
          <w:tcPr>
            <w:tcW w:w="137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行业</w:t>
            </w:r>
          </w:p>
        </w:tc>
        <w:tc>
          <w:tcPr>
            <w:tcW w:w="468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培训对象</w:t>
            </w:r>
          </w:p>
        </w:tc>
        <w:tc>
          <w:tcPr>
            <w:tcW w:w="85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班次</w:t>
            </w:r>
          </w:p>
        </w:tc>
        <w:tc>
          <w:tcPr>
            <w:tcW w:w="90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人次</w:t>
            </w:r>
          </w:p>
        </w:tc>
      </w:tr>
      <w:tr>
        <w:tblPrEx>
          <w:tblCellMar>
            <w:top w:w="0" w:type="dxa"/>
            <w:left w:w="108" w:type="dxa"/>
            <w:bottom w:w="0" w:type="dxa"/>
            <w:right w:w="108" w:type="dxa"/>
          </w:tblCellMar>
        </w:tblPrEx>
        <w:trPr>
          <w:trHeight w:val="780"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教育</w:t>
            </w:r>
          </w:p>
        </w:tc>
        <w:tc>
          <w:tcPr>
            <w:tcW w:w="468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全市中小学（幼儿园）校长（园长）教师</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12</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6614</w:t>
            </w:r>
          </w:p>
        </w:tc>
      </w:tr>
      <w:tr>
        <w:tblPrEx>
          <w:tblCellMar>
            <w:top w:w="0" w:type="dxa"/>
            <w:left w:w="108" w:type="dxa"/>
            <w:bottom w:w="0" w:type="dxa"/>
            <w:right w:w="108" w:type="dxa"/>
          </w:tblCellMar>
        </w:tblPrEx>
        <w:trPr>
          <w:trHeight w:val="454" w:hRule="exact"/>
          <w:jc w:val="center"/>
        </w:trPr>
        <w:tc>
          <w:tcPr>
            <w:tcW w:w="6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合计</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12</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6614</w:t>
            </w:r>
          </w:p>
        </w:tc>
      </w:tr>
      <w:tr>
        <w:tblPrEx>
          <w:tblCellMar>
            <w:top w:w="0" w:type="dxa"/>
            <w:left w:w="108" w:type="dxa"/>
            <w:bottom w:w="0" w:type="dxa"/>
            <w:right w:w="108" w:type="dxa"/>
          </w:tblCellMar>
        </w:tblPrEx>
        <w:trPr>
          <w:trHeight w:val="454" w:hRule="exact"/>
          <w:jc w:val="center"/>
        </w:trPr>
        <w:tc>
          <w:tcPr>
            <w:tcW w:w="68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合计全省排名</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9</w:t>
            </w:r>
          </w:p>
        </w:tc>
        <w:tc>
          <w:tcPr>
            <w:tcW w:w="9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w:t>
            </w:r>
          </w:p>
        </w:tc>
      </w:tr>
    </w:tbl>
    <w:p>
      <w:pPr>
        <w:keepNext w:val="0"/>
        <w:keepLines w:val="0"/>
        <w:pageBreakBefore w:val="0"/>
        <w:widowControl w:val="0"/>
        <w:kinsoku/>
        <w:wordWrap/>
        <w:overflowPunct/>
        <w:topLinePunct w:val="0"/>
        <w:autoSpaceDE/>
        <w:autoSpaceDN/>
        <w:bidi w:val="0"/>
        <w:adjustRightInd w:val="0"/>
        <w:snapToGrid w:val="0"/>
        <w:spacing w:line="576" w:lineRule="exact"/>
        <w:ind w:firstLine="736" w:firstLineChars="230"/>
        <w:textAlignment w:val="auto"/>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（三）学校专业设置情况</w:t>
      </w:r>
    </w:p>
    <w:p>
      <w:pPr>
        <w:keepNext w:val="0"/>
        <w:keepLines w:val="0"/>
        <w:pageBreakBefore w:val="0"/>
        <w:widowControl w:val="0"/>
        <w:kinsoku/>
        <w:wordWrap/>
        <w:overflowPunct/>
        <w:topLinePunct w:val="0"/>
        <w:autoSpaceDE/>
        <w:autoSpaceDN/>
        <w:bidi w:val="0"/>
        <w:spacing w:line="576" w:lineRule="exact"/>
        <w:ind w:firstLine="640" w:firstLineChars="200"/>
        <w:jc w:val="both"/>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sz w:val="32"/>
          <w:szCs w:val="32"/>
          <w:highlight w:val="none"/>
          <w:u w:val="none"/>
          <w:lang w:val="en-US" w:eastAsia="zh-CN"/>
        </w:rPr>
        <w:t>2020年招收开放教育</w:t>
      </w:r>
      <w:r>
        <w:rPr>
          <w:rFonts w:hint="default" w:ascii="仿宋" w:hAnsi="仿宋" w:eastAsia="仿宋" w:cs="仿宋"/>
          <w:color w:val="auto"/>
          <w:sz w:val="32"/>
          <w:szCs w:val="32"/>
          <w:highlight w:val="none"/>
          <w:u w:val="none"/>
          <w:lang w:val="en-US" w:eastAsia="zh-CN"/>
        </w:rPr>
        <w:t>本</w:t>
      </w:r>
      <w:r>
        <w:rPr>
          <w:rFonts w:hint="eastAsia" w:ascii="仿宋" w:hAnsi="仿宋" w:eastAsia="仿宋" w:cs="仿宋"/>
          <w:color w:val="auto"/>
          <w:sz w:val="32"/>
          <w:szCs w:val="32"/>
          <w:highlight w:val="none"/>
          <w:u w:val="none"/>
          <w:lang w:val="en-US" w:eastAsia="zh-CN"/>
        </w:rPr>
        <w:t>、</w:t>
      </w:r>
      <w:r>
        <w:rPr>
          <w:rFonts w:hint="default" w:ascii="仿宋" w:hAnsi="仿宋" w:eastAsia="仿宋" w:cs="仿宋"/>
          <w:color w:val="auto"/>
          <w:sz w:val="32"/>
          <w:szCs w:val="32"/>
          <w:highlight w:val="none"/>
          <w:u w:val="none"/>
          <w:lang w:val="en-US" w:eastAsia="zh-CN"/>
        </w:rPr>
        <w:t>专科</w:t>
      </w:r>
      <w:r>
        <w:rPr>
          <w:rFonts w:hint="eastAsia" w:ascii="仿宋" w:hAnsi="仿宋" w:eastAsia="仿宋" w:cs="仿宋"/>
          <w:color w:val="auto"/>
          <w:sz w:val="32"/>
          <w:szCs w:val="32"/>
          <w:highlight w:val="none"/>
          <w:u w:val="none"/>
          <w:lang w:val="en-US" w:eastAsia="zh-CN"/>
        </w:rPr>
        <w:t>专业共41</w:t>
      </w:r>
      <w:r>
        <w:rPr>
          <w:rFonts w:hint="default" w:ascii="仿宋" w:hAnsi="仿宋" w:eastAsia="仿宋" w:cs="仿宋"/>
          <w:color w:val="auto"/>
          <w:sz w:val="32"/>
          <w:szCs w:val="32"/>
          <w:highlight w:val="none"/>
          <w:u w:val="none"/>
          <w:lang w:val="en-US" w:eastAsia="zh-CN"/>
        </w:rPr>
        <w:t>个，</w:t>
      </w:r>
      <w:r>
        <w:rPr>
          <w:rFonts w:hint="eastAsia" w:ascii="仿宋" w:hAnsi="仿宋" w:eastAsia="仿宋" w:cs="仿宋"/>
          <w:color w:val="auto"/>
          <w:sz w:val="32"/>
          <w:szCs w:val="32"/>
          <w:highlight w:val="none"/>
          <w:u w:val="none"/>
          <w:lang w:val="en-US" w:eastAsia="zh-CN"/>
        </w:rPr>
        <w:t>同比减少8个。其中，开放教育本科13个，占比31.71%，专科28个，占比68.29%。2020年招收高等职业教育（扩招）专业共</w:t>
      </w:r>
      <w:r>
        <w:rPr>
          <w:rFonts w:hint="eastAsia" w:ascii="仿宋" w:hAnsi="仿宋" w:eastAsia="仿宋" w:cs="仿宋"/>
          <w:color w:val="auto"/>
          <w:sz w:val="32"/>
          <w:szCs w:val="32"/>
          <w:highlight w:val="none"/>
          <w:u w:val="none"/>
          <w:lang w:val="en-US" w:eastAsia="zh-CN"/>
        </w:rPr>
        <w:t>2</w:t>
      </w:r>
      <w:r>
        <w:rPr>
          <w:rFonts w:hint="default" w:ascii="仿宋" w:hAnsi="仿宋" w:eastAsia="仿宋" w:cs="仿宋"/>
          <w:color w:val="auto"/>
          <w:sz w:val="32"/>
          <w:szCs w:val="32"/>
          <w:highlight w:val="none"/>
          <w:u w:val="none"/>
          <w:lang w:val="en-US" w:eastAsia="zh-CN"/>
        </w:rPr>
        <w:t>个</w:t>
      </w:r>
      <w:r>
        <w:rPr>
          <w:rFonts w:hint="eastAsia" w:ascii="仿宋" w:hAnsi="仿宋" w:eastAsia="仿宋" w:cs="仿宋"/>
          <w:color w:val="auto"/>
          <w:sz w:val="32"/>
          <w:szCs w:val="32"/>
          <w:highlight w:val="none"/>
          <w:u w:val="none"/>
          <w:lang w:val="en-US" w:eastAsia="zh-CN"/>
        </w:rPr>
        <w:t>。</w:t>
      </w:r>
    </w:p>
    <w:p>
      <w:pPr>
        <w:pStyle w:val="3"/>
        <w:keepNext w:val="0"/>
        <w:keepLines w:val="0"/>
        <w:pageBreakBefore w:val="0"/>
        <w:widowControl w:val="0"/>
        <w:kinsoku/>
        <w:wordWrap/>
        <w:overflowPunct/>
        <w:topLinePunct w:val="0"/>
        <w:autoSpaceDE/>
        <w:autoSpaceDN/>
        <w:bidi w:val="0"/>
        <w:adjustRightInd/>
        <w:snapToGrid/>
        <w:spacing w:after="0" w:line="576" w:lineRule="exact"/>
        <w:jc w:val="center"/>
        <w:textAlignment w:val="auto"/>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2-3</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 xml:space="preserve">1 </w:t>
      </w:r>
      <w:r>
        <w:rPr>
          <w:rFonts w:hint="eastAsia" w:ascii="仿宋" w:hAnsi="仿宋" w:eastAsia="仿宋" w:cs="仿宋"/>
          <w:color w:val="auto"/>
          <w:kern w:val="0"/>
          <w:sz w:val="28"/>
          <w:szCs w:val="28"/>
          <w:highlight w:val="none"/>
          <w:lang w:val="en-US" w:eastAsia="zh-CN" w:bidi="ar-SA"/>
        </w:rPr>
        <w:t>2020年度开放教育招生规模排名前五位的本科专业</w:t>
      </w:r>
    </w:p>
    <w:tbl>
      <w:tblPr>
        <w:tblStyle w:val="6"/>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土木工程</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320</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工商管理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319</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18.47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行政管理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250</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法学</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174</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汉语言文学（师范方向）</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162</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9.41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1225</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71.08</w:t>
            </w:r>
          </w:p>
        </w:tc>
      </w:tr>
    </w:tbl>
    <w:p>
      <w:pPr>
        <w:pStyle w:val="10"/>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both"/>
        <w:textAlignment w:val="center"/>
        <w:rPr>
          <w:rFonts w:hint="eastAsia" w:ascii="仿宋" w:hAnsi="仿宋" w:eastAsia="仿宋" w:cs="仿宋"/>
          <w:color w:val="auto"/>
          <w:kern w:val="0"/>
          <w:sz w:val="30"/>
          <w:szCs w:val="30"/>
          <w:highlight w:val="none"/>
          <w:lang w:val="en-US" w:eastAsia="zh-CN" w:bidi="ar-SA"/>
        </w:rPr>
      </w:pPr>
    </w:p>
    <w:p>
      <w:pPr>
        <w:pStyle w:val="10"/>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30"/>
          <w:szCs w:val="30"/>
          <w:highlight w:val="none"/>
          <w:lang w:val="en-US" w:eastAsia="zh-CN" w:bidi="ar-SA"/>
        </w:rPr>
      </w:pPr>
      <w:r>
        <w:rPr>
          <w:rFonts w:hint="eastAsia" w:ascii="仿宋" w:hAnsi="仿宋" w:eastAsia="仿宋" w:cs="仿宋"/>
          <w:color w:val="auto"/>
          <w:kern w:val="0"/>
          <w:sz w:val="28"/>
          <w:szCs w:val="28"/>
          <w:highlight w:val="none"/>
          <w:lang w:val="en-US" w:eastAsia="zh-CN" w:bidi="ar-SA"/>
        </w:rPr>
        <w:t>表2-3-2 2020年度开放教育招生规模排名前五位的专科专业</w:t>
      </w:r>
    </w:p>
    <w:tbl>
      <w:tblPr>
        <w:tblStyle w:val="6"/>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工商企业管理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1922</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24.64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建筑工程技术</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1188</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15.23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行政管理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1173</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15.04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计算机信息管理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693</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机电一体化技术</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487</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i w:val="0"/>
                <w:color w:val="auto"/>
                <w:kern w:val="0"/>
                <w:sz w:val="28"/>
                <w:szCs w:val="28"/>
                <w:highlight w:val="none"/>
                <w:u w:val="none"/>
                <w:lang w:val="en-US" w:eastAsia="zh-CN" w:bidi="ar"/>
              </w:rPr>
              <w:t>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5463</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70.03</w:t>
            </w:r>
          </w:p>
        </w:tc>
      </w:tr>
    </w:tbl>
    <w:p>
      <w:pPr>
        <w:pStyle w:val="10"/>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30"/>
          <w:szCs w:val="30"/>
          <w:highlight w:val="none"/>
          <w:lang w:val="en-US" w:eastAsia="zh-CN" w:bidi="ar-SA"/>
        </w:rPr>
      </w:pPr>
    </w:p>
    <w:p>
      <w:pPr>
        <w:pStyle w:val="10"/>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30"/>
          <w:szCs w:val="30"/>
          <w:highlight w:val="none"/>
          <w:lang w:val="en-US" w:eastAsia="zh-CN" w:bidi="ar-SA"/>
        </w:rPr>
      </w:pPr>
      <w:r>
        <w:rPr>
          <w:rFonts w:hint="eastAsia" w:ascii="仿宋" w:hAnsi="仿宋" w:eastAsia="仿宋" w:cs="仿宋"/>
          <w:color w:val="auto"/>
          <w:kern w:val="0"/>
          <w:sz w:val="30"/>
          <w:szCs w:val="30"/>
          <w:highlight w:val="none"/>
          <w:lang w:val="en-US" w:eastAsia="zh-CN" w:bidi="ar-SA"/>
        </w:rPr>
        <w:t>表2-3-3 2020年度高等职业教育（扩招）招收专业</w:t>
      </w:r>
    </w:p>
    <w:tbl>
      <w:tblPr>
        <w:tblStyle w:val="6"/>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9"/>
        <w:gridCol w:w="2908"/>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专业名称</w:t>
            </w:r>
          </w:p>
        </w:tc>
        <w:tc>
          <w:tcPr>
            <w:tcW w:w="2908" w:type="dxa"/>
            <w:shd w:val="clear" w:color="auto" w:fill="D7D7D7" w:themeFill="background1" w:themeFillShade="D8"/>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招生数（人）</w:t>
            </w:r>
          </w:p>
        </w:tc>
        <w:tc>
          <w:tcPr>
            <w:tcW w:w="2215"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会计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81</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64.29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园林技术</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45</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35.71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09"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lang w:val="en-US" w:eastAsia="zh-CN"/>
              </w:rPr>
            </w:pPr>
            <w:r>
              <w:rPr>
                <w:rFonts w:hint="eastAsia" w:ascii="仿宋" w:hAnsi="仿宋" w:eastAsia="仿宋" w:cs="仿宋"/>
                <w:i w:val="0"/>
                <w:color w:val="auto"/>
                <w:kern w:val="0"/>
                <w:sz w:val="28"/>
                <w:szCs w:val="28"/>
                <w:highlight w:val="none"/>
                <w:u w:val="none"/>
                <w:lang w:val="en-US" w:eastAsia="zh-CN"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126</w:t>
            </w:r>
          </w:p>
        </w:tc>
        <w:tc>
          <w:tcPr>
            <w:tcW w:w="2215"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100</w:t>
            </w:r>
          </w:p>
        </w:tc>
      </w:tr>
    </w:tbl>
    <w:p>
      <w:pPr>
        <w:keepNext w:val="0"/>
        <w:keepLines w:val="0"/>
        <w:pageBreakBefore w:val="0"/>
        <w:widowControl w:val="0"/>
        <w:kinsoku/>
        <w:wordWrap/>
        <w:overflowPunct/>
        <w:topLinePunct w:val="0"/>
        <w:autoSpaceDE/>
        <w:autoSpaceDN/>
        <w:bidi w:val="0"/>
        <w:adjustRightInd w:val="0"/>
        <w:snapToGrid w:val="0"/>
        <w:spacing w:line="576" w:lineRule="exact"/>
        <w:ind w:firstLine="470" w:firstLineChars="147"/>
        <w:textAlignment w:val="auto"/>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w:t>
      </w:r>
      <w:r>
        <w:rPr>
          <w:rFonts w:hint="eastAsia" w:ascii="楷体" w:hAnsi="楷体" w:eastAsia="楷体" w:cs="楷体"/>
          <w:b w:val="0"/>
          <w:bCs w:val="0"/>
          <w:color w:val="auto"/>
          <w:sz w:val="32"/>
          <w:szCs w:val="32"/>
          <w:highlight w:val="none"/>
          <w:lang w:eastAsia="zh-CN"/>
        </w:rPr>
        <w:t>四</w:t>
      </w:r>
      <w:r>
        <w:rPr>
          <w:rFonts w:hint="eastAsia" w:ascii="楷体" w:hAnsi="楷体" w:eastAsia="楷体" w:cs="楷体"/>
          <w:b w:val="0"/>
          <w:bCs w:val="0"/>
          <w:color w:val="auto"/>
          <w:sz w:val="32"/>
          <w:szCs w:val="32"/>
          <w:highlight w:val="none"/>
        </w:rPr>
        <w:t>）质量提升综治工程</w:t>
      </w:r>
    </w:p>
    <w:p>
      <w:pPr>
        <w:pStyle w:val="3"/>
        <w:keepNext w:val="0"/>
        <w:keepLines w:val="0"/>
        <w:pageBreakBefore w:val="0"/>
        <w:widowControl w:val="0"/>
        <w:kinsoku/>
        <w:wordWrap/>
        <w:overflowPunct/>
        <w:topLinePunct w:val="0"/>
        <w:autoSpaceDE/>
        <w:autoSpaceDN/>
        <w:bidi w:val="0"/>
        <w:spacing w:after="0" w:line="576" w:lineRule="exact"/>
        <w:ind w:firstLine="640" w:firstLineChars="200"/>
        <w:textAlignment w:val="auto"/>
        <w:rPr>
          <w:rFonts w:ascii="仿宋" w:hAnsi="仿宋" w:eastAsia="仿宋" w:cs="宋体"/>
          <w:b w:val="0"/>
          <w:bCs w:val="0"/>
          <w:color w:val="auto"/>
          <w:kern w:val="0"/>
          <w:sz w:val="32"/>
          <w:szCs w:val="32"/>
          <w:highlight w:val="none"/>
        </w:rPr>
      </w:pPr>
      <w:r>
        <w:rPr>
          <w:rFonts w:hint="eastAsia" w:ascii="仿宋" w:hAnsi="仿宋" w:eastAsia="仿宋" w:cs="宋体"/>
          <w:b w:val="0"/>
          <w:bCs w:val="0"/>
          <w:color w:val="auto"/>
          <w:kern w:val="0"/>
          <w:sz w:val="32"/>
          <w:szCs w:val="32"/>
          <w:highlight w:val="none"/>
        </w:rPr>
        <w:t>1.质量保障制度</w:t>
      </w:r>
    </w:p>
    <w:p>
      <w:pPr>
        <w:keepNext w:val="0"/>
        <w:keepLines w:val="0"/>
        <w:pageBreakBefore w:val="0"/>
        <w:widowControl w:val="0"/>
        <w:kinsoku/>
        <w:wordWrap/>
        <w:overflowPunct/>
        <w:topLinePunct w:val="0"/>
        <w:autoSpaceDE/>
        <w:autoSpaceDN/>
        <w:bidi w:val="0"/>
        <w:spacing w:line="576" w:lineRule="exact"/>
        <w:ind w:firstLine="640" w:firstLineChars="200"/>
        <w:textAlignment w:val="auto"/>
        <w:rPr>
          <w:rFonts w:ascii="仿宋" w:hAnsi="仿宋" w:eastAsia="仿宋" w:cs="宋体"/>
          <w:bCs/>
          <w:color w:val="auto"/>
          <w:kern w:val="0"/>
          <w:sz w:val="32"/>
          <w:szCs w:val="32"/>
          <w:highlight w:val="none"/>
        </w:rPr>
      </w:pPr>
      <w:r>
        <w:rPr>
          <w:rFonts w:hint="eastAsia" w:ascii="仿宋" w:hAnsi="仿宋" w:eastAsia="仿宋" w:cs="宋体"/>
          <w:bCs/>
          <w:color w:val="auto"/>
          <w:kern w:val="0"/>
          <w:sz w:val="32"/>
          <w:szCs w:val="32"/>
          <w:highlight w:val="none"/>
          <w:lang w:val="en-US" w:eastAsia="zh-CN"/>
        </w:rPr>
        <w:t>2020年</w:t>
      </w:r>
      <w:r>
        <w:rPr>
          <w:rFonts w:hint="eastAsia" w:ascii="仿宋" w:hAnsi="仿宋" w:eastAsia="仿宋" w:cs="宋体"/>
          <w:bCs/>
          <w:color w:val="auto"/>
          <w:kern w:val="0"/>
          <w:sz w:val="32"/>
          <w:szCs w:val="32"/>
          <w:highlight w:val="none"/>
        </w:rPr>
        <w:t>进一步完善规章制度，编印</w:t>
      </w:r>
      <w:r>
        <w:rPr>
          <w:rFonts w:hint="eastAsia" w:ascii="仿宋" w:hAnsi="仿宋" w:eastAsia="仿宋" w:cs="宋体"/>
          <w:bCs/>
          <w:color w:val="auto"/>
          <w:kern w:val="0"/>
          <w:sz w:val="32"/>
          <w:szCs w:val="32"/>
          <w:highlight w:val="none"/>
          <w:lang w:eastAsia="zh-CN"/>
        </w:rPr>
        <w:t>《</w:t>
      </w:r>
      <w:r>
        <w:rPr>
          <w:rFonts w:hint="eastAsia" w:ascii="仿宋" w:hAnsi="仿宋" w:eastAsia="仿宋" w:cs="宋体"/>
          <w:bCs/>
          <w:color w:val="auto"/>
          <w:kern w:val="0"/>
          <w:sz w:val="32"/>
          <w:szCs w:val="32"/>
          <w:highlight w:val="none"/>
        </w:rPr>
        <w:t>九江电大规章制度汇编</w:t>
      </w:r>
      <w:r>
        <w:rPr>
          <w:rFonts w:hint="eastAsia" w:ascii="仿宋" w:hAnsi="仿宋" w:eastAsia="仿宋" w:cs="宋体"/>
          <w:bCs/>
          <w:color w:val="auto"/>
          <w:kern w:val="0"/>
          <w:sz w:val="32"/>
          <w:szCs w:val="32"/>
          <w:highlight w:val="none"/>
          <w:lang w:eastAsia="zh-CN"/>
        </w:rPr>
        <w:t>》</w:t>
      </w:r>
      <w:r>
        <w:rPr>
          <w:rFonts w:hint="eastAsia" w:ascii="仿宋" w:hAnsi="仿宋" w:eastAsia="仿宋" w:cs="宋体"/>
          <w:bCs/>
          <w:color w:val="auto"/>
          <w:kern w:val="0"/>
          <w:sz w:val="32"/>
          <w:szCs w:val="32"/>
          <w:highlight w:val="none"/>
        </w:rPr>
        <w:t>，提高了管理效率。</w:t>
      </w:r>
    </w:p>
    <w:p>
      <w:pPr>
        <w:pStyle w:val="3"/>
        <w:keepNext w:val="0"/>
        <w:keepLines w:val="0"/>
        <w:pageBreakBefore w:val="0"/>
        <w:widowControl w:val="0"/>
        <w:kinsoku/>
        <w:wordWrap/>
        <w:overflowPunct/>
        <w:topLinePunct w:val="0"/>
        <w:autoSpaceDE/>
        <w:autoSpaceDN/>
        <w:bidi w:val="0"/>
        <w:adjustRightInd/>
        <w:snapToGrid/>
        <w:spacing w:after="0" w:line="576" w:lineRule="exact"/>
        <w:jc w:val="center"/>
        <w:textAlignment w:val="auto"/>
        <w:rPr>
          <w:rFonts w:hint="eastAsia" w:ascii="仿宋" w:hAnsi="仿宋" w:eastAsia="仿宋" w:cs="仿宋"/>
          <w:color w:val="auto"/>
          <w:kern w:val="0"/>
          <w:sz w:val="28"/>
          <w:szCs w:val="28"/>
          <w:highlight w:val="none"/>
        </w:rPr>
      </w:pPr>
    </w:p>
    <w:p>
      <w:pPr>
        <w:pStyle w:val="3"/>
        <w:keepNext w:val="0"/>
        <w:keepLines w:val="0"/>
        <w:pageBreakBefore w:val="0"/>
        <w:widowControl w:val="0"/>
        <w:kinsoku/>
        <w:wordWrap/>
        <w:overflowPunct/>
        <w:topLinePunct w:val="0"/>
        <w:autoSpaceDE/>
        <w:autoSpaceDN/>
        <w:bidi w:val="0"/>
        <w:adjustRightInd/>
        <w:snapToGrid/>
        <w:spacing w:after="0" w:line="576" w:lineRule="exact"/>
        <w:jc w:val="center"/>
        <w:textAlignment w:val="auto"/>
        <w:rPr>
          <w:rFonts w:hint="eastAsia" w:ascii="仿宋" w:hAnsi="仿宋" w:eastAsia="仿宋" w:cs="仿宋"/>
          <w:color w:val="auto"/>
          <w:kern w:val="0"/>
          <w:sz w:val="28"/>
          <w:szCs w:val="28"/>
          <w:highlight w:val="none"/>
        </w:rPr>
      </w:pPr>
    </w:p>
    <w:p>
      <w:pPr>
        <w:pStyle w:val="3"/>
        <w:keepNext w:val="0"/>
        <w:keepLines w:val="0"/>
        <w:pageBreakBefore w:val="0"/>
        <w:widowControl w:val="0"/>
        <w:kinsoku/>
        <w:wordWrap/>
        <w:overflowPunct/>
        <w:topLinePunct w:val="0"/>
        <w:autoSpaceDE/>
        <w:autoSpaceDN/>
        <w:bidi w:val="0"/>
        <w:adjustRightInd/>
        <w:snapToGrid/>
        <w:spacing w:after="0" w:line="576" w:lineRule="exact"/>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-1  2020年度</w:t>
      </w:r>
      <w:bookmarkStart w:id="1" w:name="_GoBack"/>
      <w:bookmarkEnd w:id="1"/>
      <w:r>
        <w:rPr>
          <w:rFonts w:hint="eastAsia" w:ascii="仿宋" w:hAnsi="仿宋" w:eastAsia="仿宋" w:cs="仿宋"/>
          <w:color w:val="auto"/>
          <w:kern w:val="0"/>
          <w:sz w:val="28"/>
          <w:szCs w:val="28"/>
          <w:highlight w:val="none"/>
        </w:rPr>
        <w:t>重要规章制度建设情况</w:t>
      </w:r>
    </w:p>
    <w:tbl>
      <w:tblPr>
        <w:tblStyle w:val="6"/>
        <w:tblW w:w="84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693"/>
        <w:gridCol w:w="5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2"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69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类别</w:t>
            </w:r>
          </w:p>
        </w:tc>
        <w:tc>
          <w:tcPr>
            <w:tcW w:w="5879"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exact"/>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69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办法</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九江</w:t>
            </w:r>
            <w:r>
              <w:rPr>
                <w:rFonts w:hint="eastAsia" w:ascii="仿宋" w:hAnsi="仿宋" w:eastAsia="仿宋"/>
                <w:color w:val="auto"/>
                <w:sz w:val="28"/>
                <w:szCs w:val="28"/>
                <w:highlight w:val="none"/>
                <w:lang w:eastAsia="zh-CN"/>
              </w:rPr>
              <w:t>市分校</w:t>
            </w:r>
            <w:r>
              <w:rPr>
                <w:rFonts w:hint="eastAsia" w:ascii="仿宋" w:hAnsi="仿宋" w:eastAsia="仿宋"/>
                <w:color w:val="auto"/>
                <w:sz w:val="28"/>
                <w:szCs w:val="28"/>
                <w:highlight w:val="none"/>
              </w:rPr>
              <w:t>开放学生预算缴教材款</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olor w:val="auto"/>
                <w:sz w:val="28"/>
                <w:szCs w:val="28"/>
                <w:highlight w:val="none"/>
              </w:rPr>
              <w:t>结算规范管理办法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169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规程</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olor w:val="auto"/>
                <w:sz w:val="28"/>
                <w:szCs w:val="28"/>
                <w:highlight w:val="none"/>
              </w:rPr>
              <w:t>教务工作手册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169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规程</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olor w:val="auto"/>
                <w:sz w:val="28"/>
                <w:szCs w:val="28"/>
                <w:highlight w:val="none"/>
              </w:rPr>
              <w:t>学籍工作问与答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169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规程</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olor w:val="auto"/>
                <w:sz w:val="28"/>
                <w:szCs w:val="28"/>
                <w:highlight w:val="none"/>
              </w:rPr>
              <w:t>教学工作问与答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69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规程</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olor w:val="auto"/>
                <w:sz w:val="28"/>
                <w:szCs w:val="28"/>
                <w:highlight w:val="none"/>
              </w:rPr>
              <w:t>班级管理日志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exact"/>
          <w:jc w:val="center"/>
        </w:trPr>
        <w:tc>
          <w:tcPr>
            <w:tcW w:w="87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169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办法</w:t>
            </w:r>
          </w:p>
        </w:tc>
        <w:tc>
          <w:tcPr>
            <w:tcW w:w="587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楷体"/>
                <w:color w:val="auto"/>
                <w:sz w:val="28"/>
                <w:szCs w:val="28"/>
                <w:highlight w:val="none"/>
              </w:rPr>
            </w:pPr>
            <w:r>
              <w:rPr>
                <w:rFonts w:hint="eastAsia" w:ascii="仿宋" w:hAnsi="仿宋" w:eastAsia="仿宋"/>
                <w:color w:val="auto"/>
                <w:sz w:val="28"/>
                <w:szCs w:val="28"/>
                <w:highlight w:val="none"/>
              </w:rPr>
              <w:t>九江</w:t>
            </w:r>
            <w:r>
              <w:rPr>
                <w:rFonts w:hint="eastAsia" w:ascii="仿宋" w:hAnsi="仿宋" w:eastAsia="仿宋"/>
                <w:color w:val="auto"/>
                <w:sz w:val="28"/>
                <w:szCs w:val="28"/>
                <w:highlight w:val="none"/>
                <w:lang w:eastAsia="zh-CN"/>
              </w:rPr>
              <w:t>市分校</w:t>
            </w:r>
            <w:r>
              <w:rPr>
                <w:rFonts w:hint="eastAsia" w:ascii="仿宋" w:hAnsi="仿宋" w:eastAsia="仿宋" w:cs="楷体"/>
                <w:color w:val="auto"/>
                <w:sz w:val="28"/>
                <w:szCs w:val="28"/>
                <w:highlight w:val="none"/>
              </w:rPr>
              <w:t>开放教育质量提升综合治理工程</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olor w:val="auto"/>
                <w:sz w:val="28"/>
                <w:szCs w:val="28"/>
                <w:highlight w:val="none"/>
              </w:rPr>
            </w:pPr>
            <w:r>
              <w:rPr>
                <w:rFonts w:hint="eastAsia" w:ascii="仿宋" w:hAnsi="仿宋" w:eastAsia="仿宋" w:cs="楷体"/>
                <w:color w:val="auto"/>
                <w:sz w:val="28"/>
                <w:szCs w:val="28"/>
                <w:highlight w:val="none"/>
              </w:rPr>
              <w:t>工作方案（试行）</w:t>
            </w:r>
          </w:p>
        </w:tc>
      </w:tr>
    </w:tbl>
    <w:p>
      <w:pPr>
        <w:pStyle w:val="3"/>
        <w:keepNext w:val="0"/>
        <w:keepLines w:val="0"/>
        <w:pageBreakBefore w:val="0"/>
        <w:kinsoku/>
        <w:wordWrap/>
        <w:overflowPunct/>
        <w:topLinePunct w:val="0"/>
        <w:autoSpaceDE/>
        <w:autoSpaceDN/>
        <w:bidi w:val="0"/>
        <w:adjustRightInd/>
        <w:snapToGrid/>
        <w:spacing w:after="0" w:line="576" w:lineRule="exact"/>
        <w:ind w:firstLine="640" w:firstLineChars="200"/>
        <w:textAlignment w:val="auto"/>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2.办学体系和招生管理</w:t>
      </w:r>
    </w:p>
    <w:p>
      <w:pPr>
        <w:pStyle w:val="3"/>
        <w:keepNext w:val="0"/>
        <w:keepLines w:val="0"/>
        <w:pageBreakBefore w:val="0"/>
        <w:kinsoku/>
        <w:wordWrap/>
        <w:overflowPunct/>
        <w:topLinePunct w:val="0"/>
        <w:autoSpaceDE/>
        <w:autoSpaceDN/>
        <w:bidi w:val="0"/>
        <w:adjustRightInd/>
        <w:snapToGrid/>
        <w:spacing w:after="0" w:line="576" w:lineRule="exact"/>
        <w:ind w:firstLine="640" w:firstLineChars="200"/>
        <w:textAlignment w:val="auto"/>
        <w:rPr>
          <w:rFonts w:hint="eastAsia" w:ascii="仿宋" w:hAnsi="仿宋" w:eastAsia="仿宋"/>
          <w:color w:val="auto"/>
          <w:sz w:val="32"/>
          <w:szCs w:val="32"/>
          <w:highlight w:val="none"/>
          <w:u w:val="none"/>
        </w:rPr>
      </w:pPr>
      <w:r>
        <w:rPr>
          <w:rFonts w:hint="eastAsia" w:ascii="仿宋" w:hAnsi="仿宋" w:eastAsia="仿宋"/>
          <w:color w:val="auto"/>
          <w:sz w:val="32"/>
          <w:szCs w:val="32"/>
          <w:highlight w:val="none"/>
          <w:u w:val="none"/>
          <w:lang w:eastAsia="zh-CN"/>
        </w:rPr>
        <w:t>截至</w:t>
      </w:r>
      <w:r>
        <w:rPr>
          <w:rFonts w:hint="eastAsia" w:ascii="仿宋" w:hAnsi="仿宋" w:eastAsia="仿宋"/>
          <w:color w:val="auto"/>
          <w:sz w:val="32"/>
          <w:szCs w:val="32"/>
          <w:highlight w:val="none"/>
          <w:u w:val="none"/>
        </w:rPr>
        <w:t>2020年1月，全市办学系统由</w:t>
      </w:r>
      <w:r>
        <w:rPr>
          <w:rFonts w:hint="eastAsia" w:ascii="仿宋" w:hAnsi="仿宋" w:eastAsia="仿宋" w:cs="仿宋"/>
          <w:color w:val="auto"/>
          <w:sz w:val="32"/>
          <w:szCs w:val="32"/>
          <w:highlight w:val="none"/>
          <w:u w:val="none"/>
          <w:lang w:val="en-US" w:eastAsia="zh-CN"/>
        </w:rPr>
        <w:t>18</w:t>
      </w:r>
      <w:r>
        <w:rPr>
          <w:rFonts w:hint="eastAsia" w:ascii="仿宋" w:hAnsi="仿宋" w:eastAsia="仿宋"/>
          <w:color w:val="auto"/>
          <w:sz w:val="32"/>
          <w:szCs w:val="32"/>
          <w:highlight w:val="none"/>
          <w:u w:val="none"/>
        </w:rPr>
        <w:t>个县级教学点（</w:t>
      </w:r>
      <w:r>
        <w:rPr>
          <w:rFonts w:hint="eastAsia" w:ascii="仿宋" w:hAnsi="仿宋" w:eastAsia="仿宋" w:cs="仿宋"/>
          <w:color w:val="auto"/>
          <w:sz w:val="32"/>
          <w:szCs w:val="32"/>
          <w:highlight w:val="none"/>
          <w:u w:val="none"/>
          <w:lang w:val="en-US" w:eastAsia="zh-CN"/>
        </w:rPr>
        <w:t>15</w:t>
      </w:r>
      <w:r>
        <w:rPr>
          <w:rFonts w:hint="eastAsia" w:ascii="仿宋" w:hAnsi="仿宋" w:eastAsia="仿宋"/>
          <w:color w:val="auto"/>
          <w:sz w:val="32"/>
          <w:szCs w:val="32"/>
          <w:highlight w:val="none"/>
          <w:u w:val="none"/>
        </w:rPr>
        <w:t>个公办学校、</w:t>
      </w:r>
      <w:r>
        <w:rPr>
          <w:rFonts w:hint="eastAsia" w:ascii="仿宋" w:hAnsi="仿宋" w:eastAsia="仿宋" w:cs="仿宋"/>
          <w:color w:val="auto"/>
          <w:sz w:val="32"/>
          <w:szCs w:val="32"/>
          <w:highlight w:val="none"/>
          <w:u w:val="none"/>
          <w:lang w:val="en-US" w:eastAsia="zh-CN"/>
        </w:rPr>
        <w:t>3</w:t>
      </w:r>
      <w:r>
        <w:rPr>
          <w:rFonts w:hint="eastAsia" w:ascii="仿宋" w:hAnsi="仿宋" w:eastAsia="仿宋"/>
          <w:color w:val="auto"/>
          <w:sz w:val="32"/>
          <w:szCs w:val="32"/>
          <w:highlight w:val="none"/>
          <w:u w:val="none"/>
        </w:rPr>
        <w:t>个民办学校）构成。</w:t>
      </w:r>
      <w:r>
        <w:rPr>
          <w:rFonts w:hint="eastAsia" w:ascii="仿宋" w:hAnsi="仿宋" w:eastAsia="仿宋"/>
          <w:color w:val="auto"/>
          <w:sz w:val="32"/>
          <w:szCs w:val="32"/>
          <w:highlight w:val="none"/>
          <w:u w:val="none"/>
          <w:lang w:val="en-US" w:eastAsia="zh-CN"/>
        </w:rPr>
        <w:t>2020年</w:t>
      </w:r>
      <w:r>
        <w:rPr>
          <w:rFonts w:hint="eastAsia" w:ascii="仿宋" w:hAnsi="仿宋" w:eastAsia="仿宋"/>
          <w:color w:val="auto"/>
          <w:sz w:val="32"/>
          <w:szCs w:val="32"/>
          <w:highlight w:val="none"/>
          <w:u w:val="none"/>
          <w:lang w:eastAsia="zh-CN"/>
        </w:rPr>
        <w:t>各</w:t>
      </w:r>
      <w:r>
        <w:rPr>
          <w:rFonts w:hint="eastAsia" w:ascii="仿宋" w:hAnsi="仿宋" w:eastAsia="仿宋"/>
          <w:color w:val="auto"/>
          <w:sz w:val="32"/>
          <w:szCs w:val="32"/>
          <w:highlight w:val="none"/>
          <w:u w:val="none"/>
        </w:rPr>
        <w:t>新增</w:t>
      </w:r>
      <w:r>
        <w:rPr>
          <w:rFonts w:hint="eastAsia" w:ascii="仿宋" w:hAnsi="仿宋" w:eastAsia="仿宋"/>
          <w:color w:val="auto"/>
          <w:sz w:val="32"/>
          <w:szCs w:val="32"/>
          <w:highlight w:val="none"/>
          <w:u w:val="none"/>
          <w:lang w:eastAsia="zh-CN"/>
        </w:rPr>
        <w:t>、</w:t>
      </w:r>
      <w:r>
        <w:rPr>
          <w:rFonts w:hint="eastAsia" w:ascii="仿宋" w:hAnsi="仿宋" w:eastAsia="仿宋"/>
          <w:color w:val="auto"/>
          <w:sz w:val="32"/>
          <w:szCs w:val="32"/>
          <w:highlight w:val="none"/>
          <w:u w:val="none"/>
        </w:rPr>
        <w:t>撤销</w:t>
      </w:r>
      <w:r>
        <w:rPr>
          <w:rFonts w:hint="eastAsia" w:ascii="仿宋" w:hAnsi="仿宋" w:eastAsia="仿宋"/>
          <w:color w:val="auto"/>
          <w:sz w:val="32"/>
          <w:szCs w:val="32"/>
          <w:highlight w:val="none"/>
          <w:u w:val="none"/>
          <w:lang w:val="en-US" w:eastAsia="zh-CN"/>
        </w:rPr>
        <w:t>1</w:t>
      </w:r>
      <w:r>
        <w:rPr>
          <w:rFonts w:hint="eastAsia" w:ascii="仿宋" w:hAnsi="仿宋" w:eastAsia="仿宋"/>
          <w:color w:val="auto"/>
          <w:sz w:val="32"/>
          <w:szCs w:val="32"/>
          <w:highlight w:val="none"/>
          <w:u w:val="none"/>
        </w:rPr>
        <w:t>个教学点。</w:t>
      </w:r>
      <w:r>
        <w:rPr>
          <w:rFonts w:hint="eastAsia" w:ascii="仿宋" w:hAnsi="仿宋" w:eastAsia="仿宋"/>
          <w:color w:val="auto"/>
          <w:sz w:val="32"/>
          <w:szCs w:val="32"/>
          <w:highlight w:val="none"/>
          <w:u w:val="none"/>
          <w:lang w:val="en-US" w:eastAsia="zh-CN"/>
        </w:rPr>
        <w:t>2020年县级</w:t>
      </w:r>
      <w:r>
        <w:rPr>
          <w:rFonts w:hint="eastAsia" w:ascii="仿宋" w:hAnsi="仿宋" w:eastAsia="仿宋"/>
          <w:color w:val="auto"/>
          <w:sz w:val="32"/>
          <w:szCs w:val="32"/>
          <w:highlight w:val="none"/>
          <w:u w:val="none"/>
        </w:rPr>
        <w:t>教学点共招收学生</w:t>
      </w:r>
      <w:r>
        <w:rPr>
          <w:rFonts w:hint="eastAsia" w:ascii="仿宋" w:hAnsi="仿宋" w:eastAsia="仿宋" w:cs="仿宋"/>
          <w:color w:val="auto"/>
          <w:sz w:val="32"/>
          <w:szCs w:val="32"/>
          <w:highlight w:val="none"/>
          <w:u w:val="none"/>
          <w:lang w:val="en-US" w:eastAsia="zh-CN"/>
        </w:rPr>
        <w:t>4533</w:t>
      </w:r>
      <w:r>
        <w:rPr>
          <w:rFonts w:hint="eastAsia" w:ascii="仿宋" w:hAnsi="仿宋" w:eastAsia="仿宋"/>
          <w:color w:val="auto"/>
          <w:sz w:val="32"/>
          <w:szCs w:val="32"/>
          <w:highlight w:val="none"/>
          <w:u w:val="none"/>
        </w:rPr>
        <w:t>人</w:t>
      </w:r>
      <w:r>
        <w:rPr>
          <w:rFonts w:hint="eastAsia" w:ascii="仿宋" w:hAnsi="仿宋" w:eastAsia="仿宋"/>
          <w:color w:val="auto"/>
          <w:sz w:val="32"/>
          <w:szCs w:val="32"/>
          <w:highlight w:val="none"/>
          <w:u w:val="none"/>
          <w:lang w:eastAsia="zh-CN"/>
        </w:rPr>
        <w:t>，</w:t>
      </w:r>
      <w:r>
        <w:rPr>
          <w:rFonts w:hint="eastAsia" w:ascii="仿宋" w:hAnsi="仿宋" w:eastAsia="仿宋" w:cs="仿宋"/>
          <w:b w:val="0"/>
          <w:bCs/>
          <w:color w:val="auto"/>
          <w:sz w:val="32"/>
          <w:szCs w:val="32"/>
          <w:highlight w:val="none"/>
          <w:lang w:val="en-US" w:eastAsia="zh-CN"/>
        </w:rPr>
        <w:t>占全市招生的46.98%</w:t>
      </w:r>
      <w:r>
        <w:rPr>
          <w:rFonts w:hint="eastAsia" w:ascii="仿宋" w:hAnsi="仿宋" w:eastAsia="仿宋"/>
          <w:color w:val="auto"/>
          <w:sz w:val="32"/>
          <w:szCs w:val="32"/>
          <w:highlight w:val="none"/>
          <w:u w:val="none"/>
          <w:lang w:eastAsia="zh-CN"/>
        </w:rPr>
        <w:t>。</w:t>
      </w:r>
      <w:r>
        <w:rPr>
          <w:rFonts w:hint="eastAsia" w:ascii="仿宋" w:hAnsi="仿宋" w:eastAsia="仿宋"/>
          <w:color w:val="auto"/>
          <w:sz w:val="32"/>
          <w:szCs w:val="32"/>
          <w:highlight w:val="none"/>
          <w:u w:val="none"/>
          <w:lang w:val="en-US" w:eastAsia="zh-CN"/>
        </w:rPr>
        <w:t>其中，12个县级教学点</w:t>
      </w:r>
      <w:r>
        <w:rPr>
          <w:rFonts w:hint="eastAsia" w:ascii="仿宋" w:hAnsi="仿宋" w:eastAsia="仿宋"/>
          <w:color w:val="auto"/>
          <w:sz w:val="32"/>
          <w:szCs w:val="32"/>
          <w:highlight w:val="none"/>
          <w:u w:val="none"/>
        </w:rPr>
        <w:t>招收学生100人以上。</w:t>
      </w:r>
    </w:p>
    <w:p>
      <w:pPr>
        <w:pStyle w:val="3"/>
        <w:keepNext w:val="0"/>
        <w:keepLines w:val="0"/>
        <w:pageBreakBefore w:val="0"/>
        <w:kinsoku/>
        <w:wordWrap/>
        <w:overflowPunct/>
        <w:topLinePunct w:val="0"/>
        <w:autoSpaceDE/>
        <w:autoSpaceDN/>
        <w:bidi w:val="0"/>
        <w:adjustRightInd/>
        <w:snapToGrid/>
        <w:spacing w:after="0" w:line="576" w:lineRule="exact"/>
        <w:ind w:firstLine="640" w:firstLineChars="200"/>
        <w:textAlignment w:val="auto"/>
        <w:rPr>
          <w:rFonts w:hint="eastAsia" w:ascii="仿宋" w:hAnsi="仿宋" w:eastAsia="仿宋"/>
          <w:color w:val="auto"/>
          <w:sz w:val="32"/>
          <w:szCs w:val="32"/>
          <w:highlight w:val="none"/>
          <w:u w:val="none"/>
        </w:rPr>
      </w:pPr>
      <w:r>
        <w:rPr>
          <w:rFonts w:hint="eastAsia" w:ascii="仿宋" w:hAnsi="仿宋" w:eastAsia="仿宋"/>
          <w:color w:val="auto"/>
          <w:sz w:val="32"/>
          <w:szCs w:val="32"/>
          <w:highlight w:val="none"/>
          <w:u w:val="none"/>
          <w:lang w:eastAsia="zh-CN"/>
        </w:rPr>
        <w:t>学校</w:t>
      </w:r>
      <w:r>
        <w:rPr>
          <w:rFonts w:hint="eastAsia" w:ascii="仿宋" w:hAnsi="仿宋" w:eastAsia="仿宋"/>
          <w:color w:val="auto"/>
          <w:sz w:val="32"/>
          <w:szCs w:val="32"/>
          <w:highlight w:val="none"/>
          <w:u w:val="none"/>
        </w:rPr>
        <w:t>以系统建设为重心引领全校的工作开展，</w:t>
      </w:r>
      <w:r>
        <w:rPr>
          <w:rFonts w:hint="eastAsia" w:ascii="仿宋" w:hAnsi="仿宋" w:eastAsia="仿宋"/>
          <w:color w:val="auto"/>
          <w:sz w:val="32"/>
          <w:szCs w:val="32"/>
          <w:highlight w:val="none"/>
          <w:u w:val="none"/>
          <w:lang w:eastAsia="zh-CN"/>
        </w:rPr>
        <w:t>一是</w:t>
      </w:r>
      <w:r>
        <w:rPr>
          <w:rFonts w:hint="eastAsia" w:ascii="仿宋" w:hAnsi="仿宋" w:eastAsia="仿宋"/>
          <w:color w:val="auto"/>
          <w:sz w:val="32"/>
          <w:szCs w:val="32"/>
          <w:highlight w:val="none"/>
          <w:u w:val="none"/>
        </w:rPr>
        <w:t>加强政策引导，每年按照《九江</w:t>
      </w:r>
      <w:r>
        <w:rPr>
          <w:rFonts w:hint="eastAsia" w:ascii="仿宋" w:hAnsi="仿宋" w:eastAsia="仿宋"/>
          <w:color w:val="auto"/>
          <w:sz w:val="32"/>
          <w:szCs w:val="32"/>
          <w:highlight w:val="none"/>
          <w:u w:val="none"/>
          <w:lang w:eastAsia="zh-CN"/>
        </w:rPr>
        <w:t>市校</w:t>
      </w:r>
      <w:r>
        <w:rPr>
          <w:rFonts w:hint="eastAsia" w:ascii="仿宋" w:hAnsi="仿宋" w:eastAsia="仿宋"/>
          <w:color w:val="auto"/>
          <w:sz w:val="32"/>
          <w:szCs w:val="32"/>
          <w:highlight w:val="none"/>
          <w:u w:val="none"/>
        </w:rPr>
        <w:t>开放教育目</w:t>
      </w:r>
      <w:r>
        <w:rPr>
          <w:rFonts w:hint="eastAsia" w:ascii="仿宋" w:hAnsi="仿宋" w:eastAsia="仿宋"/>
          <w:color w:val="auto"/>
          <w:sz w:val="32"/>
          <w:szCs w:val="32"/>
          <w:highlight w:val="none"/>
          <w:u w:val="none"/>
          <w:lang w:val="en-US" w:eastAsia="zh-CN"/>
        </w:rPr>
        <w:t>标</w:t>
      </w:r>
      <w:r>
        <w:rPr>
          <w:rFonts w:hint="eastAsia" w:ascii="仿宋" w:hAnsi="仿宋" w:eastAsia="仿宋"/>
          <w:color w:val="auto"/>
          <w:sz w:val="32"/>
          <w:szCs w:val="32"/>
          <w:highlight w:val="none"/>
          <w:u w:val="none"/>
        </w:rPr>
        <w:t>管理考核评价办法》，加强对</w:t>
      </w:r>
      <w:r>
        <w:rPr>
          <w:rFonts w:hint="eastAsia" w:ascii="仿宋" w:hAnsi="仿宋" w:eastAsia="仿宋"/>
          <w:color w:val="auto"/>
          <w:sz w:val="32"/>
          <w:szCs w:val="32"/>
          <w:highlight w:val="none"/>
          <w:u w:val="none"/>
          <w:lang w:eastAsia="zh-CN"/>
        </w:rPr>
        <w:t>教学点</w:t>
      </w:r>
      <w:r>
        <w:rPr>
          <w:rFonts w:hint="eastAsia" w:ascii="仿宋" w:hAnsi="仿宋" w:eastAsia="仿宋"/>
          <w:color w:val="auto"/>
          <w:sz w:val="32"/>
          <w:szCs w:val="32"/>
          <w:highlight w:val="none"/>
          <w:u w:val="none"/>
        </w:rPr>
        <w:t>的考评，建立科学、规范的教学点开放教育目标管理工作评价体系，搞好评先创优工作，奖励先进，继续激发系统活力，提高系统办学质量</w:t>
      </w:r>
      <w:r>
        <w:rPr>
          <w:rFonts w:hint="eastAsia" w:ascii="仿宋" w:hAnsi="仿宋" w:eastAsia="仿宋"/>
          <w:color w:val="auto"/>
          <w:sz w:val="32"/>
          <w:szCs w:val="32"/>
          <w:highlight w:val="none"/>
          <w:u w:val="none"/>
          <w:lang w:eastAsia="zh-CN"/>
        </w:rPr>
        <w:t>；二是</w:t>
      </w:r>
      <w:r>
        <w:rPr>
          <w:rFonts w:hint="eastAsia" w:ascii="仿宋" w:hAnsi="仿宋" w:eastAsia="仿宋"/>
          <w:color w:val="auto"/>
          <w:sz w:val="32"/>
          <w:szCs w:val="32"/>
          <w:highlight w:val="none"/>
          <w:u w:val="none"/>
        </w:rPr>
        <w:t>开展“服务明星”评选活动，让</w:t>
      </w:r>
      <w:r>
        <w:rPr>
          <w:rFonts w:hint="eastAsia" w:ascii="仿宋" w:hAnsi="仿宋" w:eastAsia="仿宋"/>
          <w:color w:val="auto"/>
          <w:sz w:val="32"/>
          <w:szCs w:val="32"/>
          <w:highlight w:val="none"/>
          <w:u w:val="none"/>
          <w:lang w:eastAsia="zh-CN"/>
        </w:rPr>
        <w:t>教学点</w:t>
      </w:r>
      <w:r>
        <w:rPr>
          <w:rFonts w:hint="eastAsia" w:ascii="仿宋" w:hAnsi="仿宋" w:eastAsia="仿宋"/>
          <w:color w:val="auto"/>
          <w:sz w:val="32"/>
          <w:szCs w:val="32"/>
          <w:highlight w:val="none"/>
          <w:u w:val="none"/>
        </w:rPr>
        <w:t>业务人员和校本部一线班主任对职能部门工作质量、态度、责任心进行打分，</w:t>
      </w:r>
      <w:r>
        <w:rPr>
          <w:rFonts w:hint="eastAsia" w:ascii="仿宋" w:hAnsi="仿宋" w:eastAsia="仿宋"/>
          <w:color w:val="auto"/>
          <w:sz w:val="32"/>
          <w:szCs w:val="32"/>
          <w:highlight w:val="none"/>
          <w:u w:val="none"/>
        </w:rPr>
        <w:t>评出</w:t>
      </w:r>
      <w:r>
        <w:rPr>
          <w:rFonts w:hint="eastAsia" w:ascii="仿宋" w:hAnsi="仿宋" w:eastAsia="仿宋"/>
          <w:color w:val="auto"/>
          <w:sz w:val="32"/>
          <w:szCs w:val="32"/>
          <w:highlight w:val="none"/>
          <w:u w:val="none"/>
        </w:rPr>
        <w:t>当年的“服务明星”，从而提高职能部门对县站和一线岗位的服务水平</w:t>
      </w:r>
      <w:r>
        <w:rPr>
          <w:rFonts w:hint="eastAsia" w:ascii="仿宋" w:hAnsi="仿宋" w:eastAsia="仿宋"/>
          <w:color w:val="auto"/>
          <w:sz w:val="32"/>
          <w:szCs w:val="32"/>
          <w:highlight w:val="none"/>
          <w:u w:val="none"/>
          <w:lang w:eastAsia="zh-CN"/>
        </w:rPr>
        <w:t>；</w:t>
      </w:r>
      <w:r>
        <w:rPr>
          <w:rFonts w:hint="eastAsia" w:ascii="仿宋" w:hAnsi="仿宋" w:eastAsia="仿宋"/>
          <w:color w:val="auto"/>
          <w:sz w:val="32"/>
          <w:szCs w:val="32"/>
          <w:highlight w:val="none"/>
          <w:u w:val="none"/>
          <w:lang w:eastAsia="zh-CN"/>
        </w:rPr>
        <w:t>三是</w:t>
      </w:r>
      <w:r>
        <w:rPr>
          <w:rFonts w:hint="eastAsia" w:ascii="仿宋" w:hAnsi="仿宋" w:eastAsia="仿宋"/>
          <w:color w:val="auto"/>
          <w:sz w:val="32"/>
          <w:szCs w:val="32"/>
          <w:highlight w:val="none"/>
          <w:u w:val="none"/>
        </w:rPr>
        <w:t>争取市教育局支持，将开放教育学历教育</w:t>
      </w:r>
      <w:r>
        <w:rPr>
          <w:rFonts w:hint="eastAsia" w:ascii="仿宋" w:hAnsi="仿宋" w:eastAsia="仿宋"/>
          <w:color w:val="auto"/>
          <w:sz w:val="32"/>
          <w:szCs w:val="32"/>
          <w:highlight w:val="none"/>
          <w:u w:val="none"/>
        </w:rPr>
        <w:t>纳入</w:t>
      </w:r>
      <w:r>
        <w:rPr>
          <w:rFonts w:hint="eastAsia" w:ascii="仿宋" w:hAnsi="仿宋" w:eastAsia="仿宋"/>
          <w:color w:val="auto"/>
          <w:sz w:val="32"/>
          <w:szCs w:val="32"/>
          <w:highlight w:val="none"/>
          <w:u w:val="none"/>
        </w:rPr>
        <w:t>县级教师进修学校工作年度考评文件</w:t>
      </w:r>
      <w:r>
        <w:rPr>
          <w:rFonts w:hint="eastAsia" w:ascii="仿宋" w:hAnsi="仿宋" w:eastAsia="仿宋"/>
          <w:color w:val="auto"/>
          <w:sz w:val="32"/>
          <w:szCs w:val="32"/>
          <w:highlight w:val="none"/>
          <w:u w:val="none"/>
        </w:rPr>
        <w:t>中</w:t>
      </w:r>
      <w:r>
        <w:rPr>
          <w:rFonts w:hint="eastAsia" w:ascii="仿宋" w:hAnsi="仿宋" w:eastAsia="仿宋"/>
          <w:color w:val="auto"/>
          <w:sz w:val="32"/>
          <w:szCs w:val="32"/>
          <w:highlight w:val="none"/>
          <w:u w:val="none"/>
          <w:lang w:eastAsia="zh-CN"/>
        </w:rPr>
        <w:t>（教学点大多设在县教师进修学校）</w:t>
      </w:r>
      <w:r>
        <w:rPr>
          <w:rFonts w:hint="eastAsia" w:ascii="仿宋" w:hAnsi="仿宋" w:eastAsia="仿宋"/>
          <w:color w:val="auto"/>
          <w:sz w:val="32"/>
          <w:szCs w:val="32"/>
          <w:highlight w:val="none"/>
          <w:u w:val="none"/>
        </w:rPr>
        <w:t>，并占有相当分值，从制度上保证开放教育工作在县级电大这个电大系统中最基层又最薄弱层级的稳定性</w:t>
      </w:r>
      <w:r>
        <w:rPr>
          <w:rFonts w:hint="eastAsia" w:ascii="仿宋" w:hAnsi="仿宋" w:eastAsia="仿宋"/>
          <w:color w:val="auto"/>
          <w:sz w:val="32"/>
          <w:szCs w:val="32"/>
          <w:highlight w:val="none"/>
          <w:u w:val="none"/>
          <w:lang w:eastAsia="zh-CN"/>
        </w:rPr>
        <w:t>；四是</w:t>
      </w:r>
      <w:r>
        <w:rPr>
          <w:rFonts w:hint="eastAsia" w:ascii="仿宋" w:hAnsi="仿宋" w:eastAsia="仿宋"/>
          <w:color w:val="auto"/>
          <w:sz w:val="32"/>
          <w:szCs w:val="32"/>
          <w:highlight w:val="none"/>
          <w:u w:val="none"/>
        </w:rPr>
        <w:t>通过加强对各</w:t>
      </w:r>
      <w:r>
        <w:rPr>
          <w:rFonts w:hint="eastAsia" w:ascii="仿宋" w:hAnsi="仿宋" w:eastAsia="仿宋"/>
          <w:color w:val="auto"/>
          <w:sz w:val="32"/>
          <w:szCs w:val="32"/>
          <w:highlight w:val="none"/>
          <w:u w:val="none"/>
          <w:lang w:eastAsia="zh-CN"/>
        </w:rPr>
        <w:t>教学点</w:t>
      </w:r>
      <w:r>
        <w:rPr>
          <w:rFonts w:hint="eastAsia" w:ascii="仿宋" w:hAnsi="仿宋" w:eastAsia="仿宋"/>
          <w:color w:val="auto"/>
          <w:sz w:val="32"/>
          <w:szCs w:val="32"/>
          <w:highlight w:val="none"/>
          <w:u w:val="none"/>
        </w:rPr>
        <w:t>的教学、教务、招生、财务等业务培训，</w:t>
      </w:r>
      <w:r>
        <w:rPr>
          <w:rFonts w:hint="eastAsia" w:ascii="仿宋" w:hAnsi="仿宋" w:eastAsia="仿宋"/>
          <w:color w:val="auto"/>
          <w:sz w:val="32"/>
          <w:szCs w:val="32"/>
          <w:highlight w:val="none"/>
          <w:u w:val="none"/>
          <w:lang w:eastAsia="zh-CN"/>
        </w:rPr>
        <w:t>提高</w:t>
      </w:r>
      <w:r>
        <w:rPr>
          <w:rFonts w:hint="eastAsia" w:ascii="仿宋" w:hAnsi="仿宋" w:eastAsia="仿宋"/>
          <w:color w:val="auto"/>
          <w:sz w:val="32"/>
          <w:szCs w:val="32"/>
          <w:highlight w:val="none"/>
          <w:u w:val="none"/>
        </w:rPr>
        <w:t>办学整体竞争力</w:t>
      </w:r>
      <w:r>
        <w:rPr>
          <w:rFonts w:hint="eastAsia" w:ascii="仿宋" w:hAnsi="仿宋" w:eastAsia="仿宋"/>
          <w:color w:val="auto"/>
          <w:sz w:val="32"/>
          <w:szCs w:val="32"/>
          <w:highlight w:val="none"/>
          <w:u w:val="none"/>
          <w:lang w:eastAsia="zh-CN"/>
        </w:rPr>
        <w:t>；五是</w:t>
      </w:r>
      <w:r>
        <w:rPr>
          <w:rFonts w:hint="eastAsia" w:ascii="仿宋" w:hAnsi="仿宋" w:eastAsia="仿宋"/>
          <w:color w:val="auto"/>
          <w:sz w:val="32"/>
          <w:szCs w:val="32"/>
          <w:highlight w:val="none"/>
          <w:u w:val="none"/>
        </w:rPr>
        <w:t>进一步强化“三服务、一沟通”工作力度</w:t>
      </w:r>
      <w:r>
        <w:rPr>
          <w:rFonts w:hint="eastAsia" w:ascii="仿宋" w:hAnsi="仿宋" w:eastAsia="仿宋"/>
          <w:color w:val="auto"/>
          <w:sz w:val="32"/>
          <w:szCs w:val="32"/>
          <w:highlight w:val="none"/>
          <w:u w:val="none"/>
          <w:lang w:eastAsia="zh-CN"/>
        </w:rPr>
        <w:t>，</w:t>
      </w:r>
      <w:r>
        <w:rPr>
          <w:rFonts w:hint="eastAsia" w:ascii="仿宋" w:hAnsi="仿宋" w:eastAsia="仿宋"/>
          <w:color w:val="auto"/>
          <w:sz w:val="32"/>
          <w:szCs w:val="32"/>
          <w:highlight w:val="none"/>
          <w:u w:val="none"/>
        </w:rPr>
        <w:t>学校主要职能处室都建立了工作微信群、QQ群，帮助</w:t>
      </w:r>
      <w:r>
        <w:rPr>
          <w:rFonts w:hint="eastAsia" w:ascii="仿宋" w:hAnsi="仿宋" w:eastAsia="仿宋"/>
          <w:color w:val="auto"/>
          <w:sz w:val="32"/>
          <w:szCs w:val="32"/>
          <w:highlight w:val="none"/>
          <w:u w:val="none"/>
          <w:lang w:eastAsia="zh-CN"/>
        </w:rPr>
        <w:t>教学点</w:t>
      </w:r>
      <w:r>
        <w:rPr>
          <w:rFonts w:hint="eastAsia" w:ascii="仿宋" w:hAnsi="仿宋" w:eastAsia="仿宋"/>
          <w:color w:val="auto"/>
          <w:sz w:val="32"/>
          <w:szCs w:val="32"/>
          <w:highlight w:val="none"/>
          <w:u w:val="none"/>
        </w:rPr>
        <w:t xml:space="preserve">管理人员解决工作难题，弥补工作失误带来的影响，体现系统办学的温暖和强大支持力量。       </w:t>
      </w:r>
    </w:p>
    <w:p>
      <w:pPr>
        <w:keepNext w:val="0"/>
        <w:keepLines w:val="0"/>
        <w:pageBreakBefore w:val="0"/>
        <w:widowControl/>
        <w:kinsoku/>
        <w:wordWrap/>
        <w:overflowPunct/>
        <w:topLinePunct w:val="0"/>
        <w:autoSpaceDE/>
        <w:autoSpaceDN/>
        <w:bidi w:val="0"/>
        <w:adjustRightInd/>
        <w:snapToGrid/>
        <w:spacing w:line="576" w:lineRule="exact"/>
        <w:ind w:firstLine="620" w:firstLineChars="200"/>
        <w:textAlignment w:val="auto"/>
        <w:rPr>
          <w:rFonts w:hint="eastAsia" w:ascii="仿宋" w:hAnsi="仿宋" w:eastAsia="仿宋" w:cs="仿宋"/>
          <w:color w:val="auto"/>
          <w:kern w:val="0"/>
          <w:sz w:val="31"/>
          <w:szCs w:val="31"/>
          <w:highlight w:val="none"/>
        </w:rPr>
      </w:pPr>
      <w:r>
        <w:rPr>
          <w:rFonts w:hint="eastAsia" w:ascii="仿宋" w:hAnsi="仿宋" w:eastAsia="仿宋" w:cs="仿宋"/>
          <w:color w:val="auto"/>
          <w:kern w:val="0"/>
          <w:sz w:val="31"/>
          <w:szCs w:val="31"/>
          <w:highlight w:val="none"/>
          <w:lang w:eastAsia="zh-CN"/>
        </w:rPr>
        <w:t>招生工作方面，</w:t>
      </w:r>
      <w:r>
        <w:rPr>
          <w:rFonts w:hint="eastAsia" w:ascii="仿宋" w:hAnsi="仿宋" w:eastAsia="仿宋" w:cs="仿宋"/>
          <w:color w:val="auto"/>
          <w:kern w:val="0"/>
          <w:sz w:val="31"/>
          <w:szCs w:val="31"/>
          <w:highlight w:val="none"/>
        </w:rPr>
        <w:t>延续以开放教育为主体，其他形式学历教育为辅的办学思路</w:t>
      </w:r>
      <w:r>
        <w:rPr>
          <w:rFonts w:hint="eastAsia" w:ascii="仿宋" w:hAnsi="仿宋" w:eastAsia="仿宋" w:cs="仿宋"/>
          <w:color w:val="auto"/>
          <w:kern w:val="0"/>
          <w:sz w:val="31"/>
          <w:szCs w:val="31"/>
          <w:highlight w:val="none"/>
          <w:lang w:eastAsia="zh-CN"/>
        </w:rPr>
        <w:t>，</w:t>
      </w:r>
      <w:r>
        <w:rPr>
          <w:rFonts w:hint="eastAsia" w:ascii="仿宋" w:hAnsi="仿宋" w:eastAsia="仿宋" w:cs="仿宋"/>
          <w:color w:val="auto"/>
          <w:kern w:val="0"/>
          <w:sz w:val="31"/>
          <w:szCs w:val="31"/>
          <w:highlight w:val="none"/>
        </w:rPr>
        <w:t>学校领导高度重视，为学校招生工作保驾护航</w:t>
      </w:r>
      <w:r>
        <w:rPr>
          <w:rFonts w:hint="eastAsia" w:ascii="仿宋" w:hAnsi="仿宋" w:eastAsia="仿宋" w:cs="仿宋"/>
          <w:color w:val="auto"/>
          <w:kern w:val="0"/>
          <w:sz w:val="31"/>
          <w:szCs w:val="31"/>
          <w:highlight w:val="none"/>
          <w:lang w:eastAsia="zh-CN"/>
        </w:rPr>
        <w:t>，</w:t>
      </w:r>
      <w:r>
        <w:rPr>
          <w:rFonts w:hint="eastAsia" w:ascii="仿宋" w:hAnsi="仿宋" w:eastAsia="仿宋" w:cs="仿宋"/>
          <w:color w:val="auto"/>
          <w:kern w:val="0"/>
          <w:sz w:val="31"/>
          <w:szCs w:val="31"/>
          <w:highlight w:val="none"/>
        </w:rPr>
        <w:t>分段部署和组织招生工作</w:t>
      </w:r>
      <w:r>
        <w:rPr>
          <w:rFonts w:hint="eastAsia" w:ascii="仿宋" w:hAnsi="仿宋" w:eastAsia="仿宋" w:cs="仿宋"/>
          <w:color w:val="auto"/>
          <w:kern w:val="0"/>
          <w:sz w:val="31"/>
          <w:szCs w:val="31"/>
          <w:highlight w:val="none"/>
          <w:lang w:eastAsia="zh-CN"/>
        </w:rPr>
        <w:t>。</w:t>
      </w:r>
      <w:r>
        <w:rPr>
          <w:rFonts w:hint="eastAsia" w:ascii="仿宋" w:hAnsi="仿宋" w:eastAsia="仿宋" w:cs="仿宋"/>
          <w:color w:val="auto"/>
          <w:kern w:val="0"/>
          <w:sz w:val="31"/>
          <w:szCs w:val="31"/>
          <w:highlight w:val="none"/>
        </w:rPr>
        <w:t>2020年招生工作再创新高</w:t>
      </w:r>
      <w:r>
        <w:rPr>
          <w:rFonts w:hint="eastAsia" w:ascii="仿宋" w:hAnsi="仿宋" w:eastAsia="仿宋" w:cs="仿宋"/>
          <w:color w:val="auto"/>
          <w:kern w:val="0"/>
          <w:sz w:val="31"/>
          <w:szCs w:val="31"/>
          <w:highlight w:val="none"/>
          <w:lang w:eastAsia="zh-CN"/>
        </w:rPr>
        <w:t>，</w:t>
      </w:r>
      <w:r>
        <w:rPr>
          <w:rFonts w:hint="eastAsia" w:ascii="仿宋" w:hAnsi="仿宋" w:eastAsia="仿宋" w:cs="仿宋"/>
          <w:color w:val="auto"/>
          <w:kern w:val="0"/>
          <w:sz w:val="31"/>
          <w:szCs w:val="31"/>
          <w:highlight w:val="none"/>
        </w:rPr>
        <w:t>超目标任务46%（全省第一）</w:t>
      </w:r>
      <w:r>
        <w:rPr>
          <w:rFonts w:hint="eastAsia" w:ascii="仿宋" w:hAnsi="仿宋" w:eastAsia="仿宋" w:cs="仿宋"/>
          <w:color w:val="auto"/>
          <w:kern w:val="0"/>
          <w:sz w:val="31"/>
          <w:szCs w:val="31"/>
          <w:highlight w:val="none"/>
          <w:lang w:eastAsia="zh-CN"/>
        </w:rPr>
        <w:t>，无违规招生现象</w:t>
      </w:r>
      <w:r>
        <w:rPr>
          <w:rFonts w:hint="eastAsia" w:ascii="仿宋" w:hAnsi="仿宋" w:eastAsia="仿宋" w:cs="仿宋"/>
          <w:color w:val="auto"/>
          <w:kern w:val="0"/>
          <w:sz w:val="31"/>
          <w:szCs w:val="31"/>
          <w:highlight w:val="none"/>
        </w:rPr>
        <w:t>。</w:t>
      </w:r>
    </w:p>
    <w:p>
      <w:pPr>
        <w:keepNext w:val="0"/>
        <w:keepLines w:val="0"/>
        <w:pageBreakBefore w:val="0"/>
        <w:widowControl/>
        <w:kinsoku/>
        <w:wordWrap/>
        <w:overflowPunct/>
        <w:topLinePunct w:val="0"/>
        <w:autoSpaceDE/>
        <w:autoSpaceDN/>
        <w:bidi w:val="0"/>
        <w:adjustRightInd/>
        <w:snapToGrid/>
        <w:spacing w:line="576" w:lineRule="exact"/>
        <w:ind w:firstLine="640" w:firstLineChars="200"/>
        <w:textAlignment w:val="auto"/>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3.信息化和教学资源建设</w:t>
      </w:r>
    </w:p>
    <w:p>
      <w:pPr>
        <w:pStyle w:val="3"/>
        <w:keepNext w:val="0"/>
        <w:keepLines w:val="0"/>
        <w:pageBreakBefore w:val="0"/>
        <w:kinsoku/>
        <w:wordWrap/>
        <w:overflowPunct/>
        <w:topLinePunct w:val="0"/>
        <w:autoSpaceDE/>
        <w:autoSpaceDN/>
        <w:bidi w:val="0"/>
        <w:adjustRightInd/>
        <w:snapToGrid/>
        <w:spacing w:after="0" w:line="576" w:lineRule="exact"/>
        <w:ind w:firstLine="640" w:firstLineChars="200"/>
        <w:textAlignment w:val="auto"/>
        <w:rPr>
          <w:rFonts w:ascii="仿宋" w:hAnsi="仿宋" w:eastAsia="仿宋" w:cs="宋体"/>
          <w:bCs/>
          <w:color w:val="auto"/>
          <w:kern w:val="0"/>
          <w:sz w:val="32"/>
          <w:szCs w:val="32"/>
          <w:highlight w:val="none"/>
        </w:rPr>
      </w:pPr>
      <w:r>
        <w:rPr>
          <w:rFonts w:hint="eastAsia" w:ascii="仿宋" w:hAnsi="仿宋" w:eastAsia="仿宋" w:cs="宋体"/>
          <w:bCs/>
          <w:color w:val="auto"/>
          <w:kern w:val="0"/>
          <w:sz w:val="32"/>
          <w:szCs w:val="32"/>
          <w:highlight w:val="none"/>
        </w:rPr>
        <w:t>全力配合省校网络中心工作，保证各种网络直播会议正常进行</w:t>
      </w:r>
      <w:r>
        <w:rPr>
          <w:rFonts w:hint="eastAsia" w:ascii="仿宋" w:hAnsi="仿宋" w:eastAsia="仿宋" w:cs="宋体"/>
          <w:bCs/>
          <w:color w:val="auto"/>
          <w:kern w:val="0"/>
          <w:sz w:val="32"/>
          <w:szCs w:val="32"/>
          <w:highlight w:val="none"/>
          <w:lang w:eastAsia="zh-CN"/>
        </w:rPr>
        <w:t>，</w:t>
      </w:r>
      <w:r>
        <w:rPr>
          <w:rFonts w:hint="eastAsia" w:ascii="仿宋" w:hAnsi="仿宋" w:eastAsia="仿宋" w:cs="宋体"/>
          <w:bCs/>
          <w:color w:val="auto"/>
          <w:kern w:val="0"/>
          <w:sz w:val="32"/>
          <w:szCs w:val="32"/>
          <w:highlight w:val="none"/>
        </w:rPr>
        <w:t>做好国家开放大学学习网的网络管理工作。对思想政治课程及一些网核课程要求学生在网上学习、作业和考核，多次和</w:t>
      </w:r>
      <w:r>
        <w:rPr>
          <w:rFonts w:hint="eastAsia" w:ascii="仿宋" w:hAnsi="仿宋" w:eastAsia="仿宋" w:cs="宋体"/>
          <w:bCs/>
          <w:color w:val="auto"/>
          <w:kern w:val="0"/>
          <w:sz w:val="32"/>
          <w:szCs w:val="32"/>
          <w:highlight w:val="none"/>
          <w:lang w:val="en-US" w:eastAsia="zh-CN"/>
        </w:rPr>
        <w:t>国家开放大学</w:t>
      </w:r>
      <w:r>
        <w:rPr>
          <w:rFonts w:hint="eastAsia" w:ascii="仿宋" w:hAnsi="仿宋" w:eastAsia="仿宋" w:cs="宋体"/>
          <w:bCs/>
          <w:color w:val="auto"/>
          <w:kern w:val="0"/>
          <w:sz w:val="32"/>
          <w:szCs w:val="32"/>
          <w:highlight w:val="none"/>
        </w:rPr>
        <w:t>及省</w:t>
      </w:r>
      <w:r>
        <w:rPr>
          <w:rFonts w:hint="eastAsia" w:ascii="仿宋" w:hAnsi="仿宋" w:eastAsia="仿宋" w:cs="宋体"/>
          <w:bCs/>
          <w:color w:val="auto"/>
          <w:kern w:val="0"/>
          <w:sz w:val="32"/>
          <w:szCs w:val="32"/>
          <w:highlight w:val="none"/>
          <w:lang w:val="en-US" w:eastAsia="zh-CN"/>
        </w:rPr>
        <w:t>校</w:t>
      </w:r>
      <w:r>
        <w:rPr>
          <w:rFonts w:hint="eastAsia" w:ascii="仿宋" w:hAnsi="仿宋" w:eastAsia="仿宋" w:cs="宋体"/>
          <w:bCs/>
          <w:color w:val="auto"/>
          <w:kern w:val="0"/>
          <w:sz w:val="32"/>
          <w:szCs w:val="32"/>
          <w:highlight w:val="none"/>
        </w:rPr>
        <w:t>相关老师沟通交流，为全市各级电大的老师解答疑问，及时提供教师、学生的行为统计及网检数据</w:t>
      </w:r>
      <w:r>
        <w:rPr>
          <w:rFonts w:hint="eastAsia" w:ascii="仿宋" w:hAnsi="仿宋" w:eastAsia="仿宋" w:cs="宋体"/>
          <w:bCs/>
          <w:color w:val="auto"/>
          <w:kern w:val="0"/>
          <w:sz w:val="32"/>
          <w:szCs w:val="32"/>
          <w:highlight w:val="none"/>
        </w:rPr>
        <w:t>。</w:t>
      </w:r>
    </w:p>
    <w:p>
      <w:pPr>
        <w:pStyle w:val="3"/>
        <w:keepNext w:val="0"/>
        <w:keepLines w:val="0"/>
        <w:pageBreakBefore w:val="0"/>
        <w:kinsoku/>
        <w:wordWrap/>
        <w:overflowPunct/>
        <w:topLinePunct w:val="0"/>
        <w:autoSpaceDE/>
        <w:autoSpaceDN/>
        <w:bidi w:val="0"/>
        <w:adjustRightInd/>
        <w:snapToGrid/>
        <w:spacing w:after="0" w:line="576" w:lineRule="exact"/>
        <w:ind w:firstLine="640" w:firstLineChars="200"/>
        <w:textAlignment w:val="auto"/>
        <w:rPr>
          <w:rFonts w:ascii="仿宋" w:hAnsi="仿宋" w:eastAsia="仿宋" w:cs="宋体"/>
          <w:bCs/>
          <w:color w:val="auto"/>
          <w:kern w:val="0"/>
          <w:sz w:val="32"/>
          <w:szCs w:val="32"/>
          <w:highlight w:val="none"/>
        </w:rPr>
      </w:pPr>
      <w:r>
        <w:rPr>
          <w:rFonts w:hint="eastAsia" w:ascii="仿宋" w:hAnsi="仿宋" w:eastAsia="仿宋" w:cs="宋体"/>
          <w:bCs/>
          <w:color w:val="auto"/>
          <w:kern w:val="0"/>
          <w:sz w:val="32"/>
          <w:szCs w:val="32"/>
          <w:highlight w:val="none"/>
          <w:lang w:eastAsia="zh-CN"/>
        </w:rPr>
        <w:t>在</w:t>
      </w:r>
      <w:r>
        <w:rPr>
          <w:rFonts w:hint="eastAsia" w:ascii="仿宋" w:hAnsi="仿宋" w:eastAsia="仿宋" w:cs="宋体"/>
          <w:bCs/>
          <w:color w:val="auto"/>
          <w:kern w:val="0"/>
          <w:sz w:val="32"/>
          <w:szCs w:val="32"/>
          <w:highlight w:val="none"/>
        </w:rPr>
        <w:t>提高教材征订率</w:t>
      </w:r>
      <w:r>
        <w:rPr>
          <w:rFonts w:hint="eastAsia" w:ascii="仿宋" w:hAnsi="仿宋" w:eastAsia="仿宋" w:cs="宋体"/>
          <w:bCs/>
          <w:color w:val="auto"/>
          <w:kern w:val="0"/>
          <w:sz w:val="32"/>
          <w:szCs w:val="32"/>
          <w:highlight w:val="none"/>
          <w:lang w:eastAsia="zh-CN"/>
        </w:rPr>
        <w:t>方面</w:t>
      </w:r>
      <w:r>
        <w:rPr>
          <w:rFonts w:hint="eastAsia" w:ascii="仿宋" w:hAnsi="仿宋" w:eastAsia="仿宋" w:cs="宋体"/>
          <w:bCs/>
          <w:color w:val="auto"/>
          <w:kern w:val="0"/>
          <w:sz w:val="32"/>
          <w:szCs w:val="32"/>
          <w:highlight w:val="none"/>
        </w:rPr>
        <w:t>，采取了一系列的措施：专门召开校长办公会把提升教材征订</w:t>
      </w:r>
      <w:r>
        <w:rPr>
          <w:rFonts w:hint="eastAsia" w:ascii="仿宋" w:hAnsi="仿宋" w:eastAsia="仿宋" w:cs="宋体"/>
          <w:bCs/>
          <w:color w:val="auto"/>
          <w:kern w:val="0"/>
          <w:sz w:val="32"/>
          <w:szCs w:val="32"/>
          <w:highlight w:val="none"/>
          <w:lang w:val="en-US" w:eastAsia="zh-CN"/>
        </w:rPr>
        <w:t>率</w:t>
      </w:r>
      <w:r>
        <w:rPr>
          <w:rFonts w:hint="eastAsia" w:ascii="仿宋" w:hAnsi="仿宋" w:eastAsia="仿宋" w:cs="宋体"/>
          <w:bCs/>
          <w:color w:val="auto"/>
          <w:kern w:val="0"/>
          <w:sz w:val="32"/>
          <w:szCs w:val="32"/>
          <w:highlight w:val="none"/>
        </w:rPr>
        <w:t>作为专题讨论研究；召集教务、教学、招生、直属等部门，提出办法和方案；及时向</w:t>
      </w:r>
      <w:r>
        <w:rPr>
          <w:rFonts w:hint="eastAsia" w:ascii="仿宋" w:hAnsi="仿宋" w:eastAsia="仿宋" w:cs="宋体"/>
          <w:bCs/>
          <w:color w:val="auto"/>
          <w:kern w:val="0"/>
          <w:sz w:val="32"/>
          <w:szCs w:val="32"/>
          <w:highlight w:val="none"/>
          <w:lang w:eastAsia="zh-CN"/>
        </w:rPr>
        <w:t>教学点</w:t>
      </w:r>
      <w:r>
        <w:rPr>
          <w:rFonts w:hint="eastAsia" w:ascii="仿宋" w:hAnsi="仿宋" w:eastAsia="仿宋" w:cs="宋体"/>
          <w:bCs/>
          <w:color w:val="auto"/>
          <w:kern w:val="0"/>
          <w:sz w:val="32"/>
          <w:szCs w:val="32"/>
          <w:highlight w:val="none"/>
        </w:rPr>
        <w:t>传达</w:t>
      </w:r>
      <w:r>
        <w:rPr>
          <w:rFonts w:hint="eastAsia" w:ascii="仿宋" w:hAnsi="仿宋" w:eastAsia="仿宋" w:cs="宋体"/>
          <w:bCs/>
          <w:color w:val="auto"/>
          <w:kern w:val="0"/>
          <w:sz w:val="32"/>
          <w:szCs w:val="32"/>
          <w:highlight w:val="none"/>
          <w:lang w:eastAsia="zh-CN"/>
        </w:rPr>
        <w:t>国家开放大学</w:t>
      </w:r>
      <w:r>
        <w:rPr>
          <w:rFonts w:hint="eastAsia" w:ascii="仿宋" w:hAnsi="仿宋" w:eastAsia="仿宋" w:cs="宋体"/>
          <w:bCs/>
          <w:color w:val="auto"/>
          <w:kern w:val="0"/>
          <w:sz w:val="32"/>
          <w:szCs w:val="32"/>
          <w:highlight w:val="none"/>
        </w:rPr>
        <w:t>、省校的精神，对教材</w:t>
      </w:r>
      <w:r>
        <w:rPr>
          <w:rFonts w:hint="eastAsia" w:ascii="仿宋" w:hAnsi="仿宋" w:eastAsia="仿宋" w:cs="宋体"/>
          <w:bCs/>
          <w:color w:val="auto"/>
          <w:kern w:val="0"/>
          <w:sz w:val="32"/>
          <w:szCs w:val="32"/>
          <w:highlight w:val="none"/>
          <w:lang w:val="en-US" w:eastAsia="zh-CN"/>
        </w:rPr>
        <w:t>征订</w:t>
      </w:r>
      <w:r>
        <w:rPr>
          <w:rFonts w:hint="eastAsia" w:ascii="仿宋" w:hAnsi="仿宋" w:eastAsia="仿宋" w:cs="宋体"/>
          <w:bCs/>
          <w:color w:val="auto"/>
          <w:kern w:val="0"/>
          <w:sz w:val="32"/>
          <w:szCs w:val="32"/>
          <w:highlight w:val="none"/>
        </w:rPr>
        <w:t>工作提出具体整改要求，将提升教材征订</w:t>
      </w:r>
      <w:r>
        <w:rPr>
          <w:rFonts w:hint="eastAsia" w:ascii="仿宋" w:hAnsi="仿宋" w:eastAsia="仿宋" w:cs="宋体"/>
          <w:bCs/>
          <w:color w:val="auto"/>
          <w:kern w:val="0"/>
          <w:sz w:val="32"/>
          <w:szCs w:val="32"/>
          <w:highlight w:val="none"/>
          <w:lang w:val="en-US" w:eastAsia="zh-CN"/>
        </w:rPr>
        <w:t>率</w:t>
      </w:r>
      <w:r>
        <w:rPr>
          <w:rFonts w:hint="eastAsia" w:ascii="仿宋" w:hAnsi="仿宋" w:eastAsia="仿宋" w:cs="宋体"/>
          <w:bCs/>
          <w:color w:val="auto"/>
          <w:kern w:val="0"/>
          <w:sz w:val="32"/>
          <w:szCs w:val="32"/>
          <w:highlight w:val="none"/>
        </w:rPr>
        <w:t>工作落到实处；从</w:t>
      </w:r>
      <w:r>
        <w:rPr>
          <w:rFonts w:hint="eastAsia" w:ascii="仿宋" w:hAnsi="仿宋" w:eastAsia="仿宋" w:cs="宋体"/>
          <w:bCs/>
          <w:color w:val="auto"/>
          <w:kern w:val="0"/>
          <w:sz w:val="32"/>
          <w:szCs w:val="32"/>
          <w:highlight w:val="none"/>
          <w:lang w:eastAsia="zh-CN"/>
        </w:rPr>
        <w:t>学习</w:t>
      </w:r>
      <w:r>
        <w:rPr>
          <w:rFonts w:hint="eastAsia" w:ascii="仿宋" w:hAnsi="仿宋" w:eastAsia="仿宋" w:cs="宋体"/>
          <w:bCs/>
          <w:color w:val="auto"/>
          <w:kern w:val="0"/>
          <w:sz w:val="32"/>
          <w:szCs w:val="32"/>
          <w:highlight w:val="none"/>
        </w:rPr>
        <w:t>过程、纸质作业上对学生提出任务布置要求，增加学生对教材的使用程度；从招生角度上要求各个招生老师按学校要求，严格执行</w:t>
      </w:r>
      <w:r>
        <w:rPr>
          <w:rFonts w:hint="eastAsia" w:ascii="仿宋" w:hAnsi="仿宋" w:eastAsia="仿宋" w:cs="宋体"/>
          <w:bCs/>
          <w:color w:val="auto"/>
          <w:kern w:val="0"/>
          <w:sz w:val="32"/>
          <w:szCs w:val="32"/>
          <w:highlight w:val="none"/>
        </w:rPr>
        <w:t>教材征订</w:t>
      </w:r>
      <w:r>
        <w:rPr>
          <w:rFonts w:hint="eastAsia" w:ascii="仿宋" w:hAnsi="仿宋" w:eastAsia="仿宋" w:cs="宋体"/>
          <w:bCs/>
          <w:color w:val="auto"/>
          <w:kern w:val="0"/>
          <w:sz w:val="32"/>
          <w:szCs w:val="32"/>
          <w:highlight w:val="none"/>
        </w:rPr>
        <w:t>，统一宣传，从源头上抓起教材征订工作。</w:t>
      </w:r>
    </w:p>
    <w:p>
      <w:pPr>
        <w:pStyle w:val="3"/>
        <w:keepNext w:val="0"/>
        <w:keepLines w:val="0"/>
        <w:pageBreakBefore w:val="0"/>
        <w:kinsoku/>
        <w:wordWrap/>
        <w:overflowPunct/>
        <w:topLinePunct w:val="0"/>
        <w:autoSpaceDE/>
        <w:autoSpaceDN/>
        <w:bidi w:val="0"/>
        <w:adjustRightInd/>
        <w:snapToGrid/>
        <w:spacing w:after="0" w:line="576" w:lineRule="exact"/>
        <w:ind w:firstLine="640" w:firstLineChars="200"/>
        <w:textAlignment w:val="auto"/>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4.学习支持服务和教学过程</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color w:val="auto"/>
          <w:highlight w:val="none"/>
        </w:rPr>
      </w:pP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lang w:val="en-US" w:eastAsia="zh-CN"/>
        </w:rPr>
        <w:t>1</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实行科学管理，提升效能。进一步完善规章制度，编印</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九江</w:t>
      </w:r>
      <w:r>
        <w:rPr>
          <w:rFonts w:hint="eastAsia" w:ascii="仿宋" w:hAnsi="仿宋" w:eastAsia="仿宋"/>
          <w:color w:val="auto"/>
          <w:sz w:val="32"/>
          <w:szCs w:val="32"/>
          <w:highlight w:val="none"/>
          <w:lang w:eastAsia="zh-CN"/>
        </w:rPr>
        <w:t>市分校</w:t>
      </w:r>
      <w:r>
        <w:rPr>
          <w:rFonts w:hint="eastAsia" w:ascii="仿宋" w:hAnsi="仿宋" w:eastAsia="仿宋"/>
          <w:color w:val="auto"/>
          <w:sz w:val="32"/>
          <w:szCs w:val="32"/>
          <w:highlight w:val="none"/>
        </w:rPr>
        <w:t>规章制度汇编</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《教务工作手册》《学籍工作问与答》《教学工作问与答》《班级管理日志》《九江电大开放学生预算缴教材款结算规范管理办法》。</w:t>
      </w:r>
    </w:p>
    <w:p>
      <w:pPr>
        <w:keepNext w:val="0"/>
        <w:keepLines w:val="0"/>
        <w:pageBreakBefore w:val="0"/>
        <w:widowControl/>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lang w:val="en-US" w:eastAsia="zh-CN"/>
        </w:rPr>
        <w:t>2</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按要求组织面授辅导</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根据学生自主学习为主</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教师辅导为辅的教学模式</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按注册课程20%的比例要求各</w:t>
      </w:r>
      <w:r>
        <w:rPr>
          <w:rFonts w:hint="eastAsia" w:ascii="仿宋" w:hAnsi="仿宋" w:eastAsia="仿宋" w:cs="宋体"/>
          <w:color w:val="auto"/>
          <w:kern w:val="0"/>
          <w:sz w:val="32"/>
          <w:szCs w:val="32"/>
          <w:highlight w:val="none"/>
          <w:lang w:eastAsia="zh-CN"/>
        </w:rPr>
        <w:t>教学点</w:t>
      </w:r>
      <w:r>
        <w:rPr>
          <w:rFonts w:hint="eastAsia" w:ascii="仿宋" w:hAnsi="仿宋" w:eastAsia="仿宋" w:cs="宋体"/>
          <w:color w:val="auto"/>
          <w:kern w:val="0"/>
          <w:sz w:val="32"/>
          <w:szCs w:val="32"/>
          <w:highlight w:val="none"/>
        </w:rPr>
        <w:t>开设辅导课程。</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ascii="仿宋" w:hAnsi="仿宋" w:eastAsia="仿宋"/>
          <w:color w:val="auto"/>
          <w:sz w:val="32"/>
          <w:szCs w:val="32"/>
          <w:highlight w:val="none"/>
        </w:rPr>
      </w:pP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lang w:val="en-US" w:eastAsia="zh-CN"/>
        </w:rPr>
        <w:t>3</w:t>
      </w:r>
      <w:r>
        <w:rPr>
          <w:rFonts w:hint="eastAsia" w:ascii="仿宋" w:hAnsi="仿宋" w:eastAsia="仿宋" w:cs="宋体"/>
          <w:color w:val="auto"/>
          <w:kern w:val="0"/>
          <w:sz w:val="32"/>
          <w:szCs w:val="32"/>
          <w:highlight w:val="none"/>
          <w:lang w:eastAsia="zh-CN"/>
        </w:rPr>
        <w:t>）加强网络教学管理。</w:t>
      </w:r>
      <w:r>
        <w:rPr>
          <w:rFonts w:hint="eastAsia" w:ascii="仿宋" w:hAnsi="仿宋" w:eastAsia="仿宋"/>
          <w:color w:val="auto"/>
          <w:sz w:val="32"/>
          <w:szCs w:val="32"/>
          <w:highlight w:val="none"/>
        </w:rPr>
        <w:t>增配5间多媒体教室</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3间网络直播间，组织课程责任教师开展网上答疑和指导学生网上学习</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加大课程责任教师的管理和</w:t>
      </w:r>
      <w:r>
        <w:rPr>
          <w:rFonts w:hint="eastAsia" w:ascii="仿宋" w:hAnsi="仿宋" w:eastAsia="仿宋"/>
          <w:color w:val="auto"/>
          <w:sz w:val="32"/>
          <w:szCs w:val="32"/>
          <w:highlight w:val="none"/>
          <w:lang w:eastAsia="zh-CN"/>
        </w:rPr>
        <w:t>班主任</w:t>
      </w:r>
      <w:r>
        <w:rPr>
          <w:rFonts w:hint="eastAsia" w:ascii="仿宋" w:hAnsi="仿宋" w:eastAsia="仿宋"/>
          <w:color w:val="auto"/>
          <w:sz w:val="32"/>
          <w:szCs w:val="32"/>
          <w:highlight w:val="none"/>
        </w:rPr>
        <w:t>的管理，并给予一定的津贴补助，不能完成这项工作给予通报批评。2020秋配置339</w:t>
      </w:r>
      <w:r>
        <w:rPr>
          <w:rFonts w:hint="eastAsia" w:ascii="仿宋" w:hAnsi="仿宋" w:eastAsia="仿宋"/>
          <w:color w:val="auto"/>
          <w:sz w:val="32"/>
          <w:szCs w:val="32"/>
          <w:highlight w:val="none"/>
          <w:lang w:eastAsia="zh-CN"/>
        </w:rPr>
        <w:t>名课程辅导教师</w:t>
      </w:r>
      <w:r>
        <w:rPr>
          <w:rFonts w:hint="eastAsia" w:ascii="仿宋" w:hAnsi="仿宋" w:eastAsia="仿宋"/>
          <w:color w:val="auto"/>
          <w:sz w:val="32"/>
          <w:szCs w:val="32"/>
          <w:highlight w:val="none"/>
        </w:rPr>
        <w:t>，其中直属本部共安排117</w:t>
      </w:r>
      <w:r>
        <w:rPr>
          <w:rFonts w:hint="eastAsia" w:ascii="仿宋" w:hAnsi="仿宋" w:eastAsia="仿宋"/>
          <w:color w:val="auto"/>
          <w:sz w:val="32"/>
          <w:szCs w:val="32"/>
          <w:highlight w:val="none"/>
          <w:lang w:val="en-US" w:eastAsia="zh-CN"/>
        </w:rPr>
        <w:t>名</w:t>
      </w:r>
      <w:r>
        <w:rPr>
          <w:rFonts w:hint="eastAsia" w:ascii="仿宋" w:hAnsi="仿宋" w:eastAsia="仿宋"/>
          <w:color w:val="auto"/>
          <w:sz w:val="32"/>
          <w:szCs w:val="32"/>
          <w:highlight w:val="none"/>
        </w:rPr>
        <w:t>教师</w:t>
      </w:r>
      <w:r>
        <w:rPr>
          <w:rFonts w:hint="eastAsia" w:ascii="仿宋" w:hAnsi="仿宋" w:eastAsia="仿宋"/>
          <w:color w:val="auto"/>
          <w:sz w:val="32"/>
          <w:szCs w:val="32"/>
          <w:highlight w:val="none"/>
        </w:rPr>
        <w:t>（其中专职教师76</w:t>
      </w:r>
      <w:r>
        <w:rPr>
          <w:rFonts w:hint="eastAsia" w:ascii="仿宋" w:hAnsi="仿宋" w:eastAsia="仿宋"/>
          <w:color w:val="auto"/>
          <w:sz w:val="32"/>
          <w:szCs w:val="32"/>
          <w:highlight w:val="none"/>
          <w:lang w:val="en-US" w:eastAsia="zh-CN"/>
        </w:rPr>
        <w:t>人</w:t>
      </w:r>
      <w:r>
        <w:rPr>
          <w:rFonts w:hint="eastAsia" w:ascii="仿宋" w:hAnsi="仿宋" w:eastAsia="仿宋"/>
          <w:color w:val="auto"/>
          <w:sz w:val="32"/>
          <w:szCs w:val="32"/>
          <w:highlight w:val="none"/>
        </w:rPr>
        <w:t>、外聘教师41人），管理428门课程。</w:t>
      </w:r>
      <w:r>
        <w:rPr>
          <w:rFonts w:hint="eastAsia" w:ascii="仿宋" w:hAnsi="仿宋" w:eastAsia="仿宋"/>
          <w:color w:val="auto"/>
          <w:sz w:val="32"/>
          <w:szCs w:val="32"/>
          <w:highlight w:val="none"/>
          <w:lang w:eastAsia="zh-CN"/>
        </w:rPr>
        <w:t>国家开放大学</w:t>
      </w:r>
      <w:r>
        <w:rPr>
          <w:rFonts w:hint="eastAsia" w:ascii="仿宋" w:hAnsi="仿宋" w:eastAsia="仿宋"/>
          <w:color w:val="auto"/>
          <w:sz w:val="32"/>
          <w:szCs w:val="32"/>
          <w:highlight w:val="none"/>
        </w:rPr>
        <w:t>网网检数据（2020年12月7日）显示，</w:t>
      </w:r>
      <w:r>
        <w:rPr>
          <w:rFonts w:hint="eastAsia" w:ascii="仿宋" w:hAnsi="仿宋" w:eastAsia="仿宋"/>
          <w:color w:val="auto"/>
          <w:sz w:val="32"/>
          <w:szCs w:val="32"/>
          <w:highlight w:val="none"/>
          <w:lang w:val="en-US" w:eastAsia="zh-CN"/>
        </w:rPr>
        <w:t>九江分校</w:t>
      </w:r>
      <w:r>
        <w:rPr>
          <w:rFonts w:hint="eastAsia" w:ascii="仿宋" w:hAnsi="仿宋" w:eastAsia="仿宋"/>
          <w:color w:val="auto"/>
          <w:sz w:val="32"/>
          <w:szCs w:val="32"/>
          <w:highlight w:val="none"/>
        </w:rPr>
        <w:t>综合排名较好。</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bCs/>
          <w:color w:val="auto"/>
          <w:kern w:val="0"/>
          <w:sz w:val="32"/>
          <w:szCs w:val="32"/>
          <w:highlight w:val="none"/>
        </w:rPr>
      </w:pPr>
      <w:r>
        <w:rPr>
          <w:rFonts w:hint="eastAsia" w:ascii="仿宋" w:hAnsi="仿宋" w:eastAsia="仿宋" w:cs="仿宋"/>
          <w:bCs/>
          <w:color w:val="auto"/>
          <w:kern w:val="0"/>
          <w:sz w:val="32"/>
          <w:szCs w:val="32"/>
          <w:highlight w:val="none"/>
          <w:lang w:eastAsia="zh-CN"/>
        </w:rPr>
        <w:t>（</w:t>
      </w:r>
      <w:r>
        <w:rPr>
          <w:rFonts w:hint="eastAsia" w:ascii="仿宋" w:hAnsi="仿宋" w:eastAsia="仿宋" w:cs="仿宋"/>
          <w:bCs/>
          <w:color w:val="auto"/>
          <w:kern w:val="0"/>
          <w:sz w:val="32"/>
          <w:szCs w:val="32"/>
          <w:highlight w:val="none"/>
          <w:lang w:val="en-US" w:eastAsia="zh-CN"/>
        </w:rPr>
        <w:t>4</w:t>
      </w:r>
      <w:r>
        <w:rPr>
          <w:rFonts w:hint="eastAsia" w:ascii="仿宋" w:hAnsi="仿宋" w:eastAsia="仿宋" w:cs="仿宋"/>
          <w:bCs/>
          <w:color w:val="auto"/>
          <w:kern w:val="0"/>
          <w:sz w:val="32"/>
          <w:szCs w:val="32"/>
          <w:highlight w:val="none"/>
          <w:lang w:eastAsia="zh-CN"/>
        </w:rPr>
        <w:t>）</w:t>
      </w:r>
      <w:r>
        <w:rPr>
          <w:rFonts w:hint="eastAsia" w:ascii="仿宋" w:hAnsi="仿宋" w:eastAsia="仿宋" w:cs="仿宋"/>
          <w:bCs/>
          <w:color w:val="auto"/>
          <w:kern w:val="0"/>
          <w:sz w:val="32"/>
          <w:szCs w:val="32"/>
          <w:highlight w:val="none"/>
        </w:rPr>
        <w:t>做好教师教学效果评价工作</w:t>
      </w:r>
      <w:r>
        <w:rPr>
          <w:rFonts w:hint="eastAsia" w:ascii="仿宋" w:hAnsi="仿宋" w:eastAsia="仿宋" w:cs="仿宋"/>
          <w:bCs/>
          <w:color w:val="auto"/>
          <w:kern w:val="0"/>
          <w:sz w:val="32"/>
          <w:szCs w:val="32"/>
          <w:highlight w:val="none"/>
          <w:lang w:eastAsia="zh-CN"/>
        </w:rPr>
        <w:t>。</w:t>
      </w:r>
      <w:r>
        <w:rPr>
          <w:rFonts w:hint="eastAsia" w:ascii="仿宋" w:hAnsi="仿宋" w:eastAsia="仿宋" w:cs="仿宋"/>
          <w:bCs/>
          <w:color w:val="auto"/>
          <w:kern w:val="0"/>
          <w:sz w:val="32"/>
          <w:szCs w:val="32"/>
          <w:highlight w:val="none"/>
          <w:lang w:val="en-US" w:eastAsia="zh-CN"/>
        </w:rPr>
        <w:t>学校安排教师参与听课活动，并进行听课记录，分享教学心得，给出听课建议。直属处利用问卷星平台设计</w:t>
      </w:r>
      <w:r>
        <w:rPr>
          <w:rFonts w:hint="eastAsia" w:ascii="仿宋" w:hAnsi="仿宋" w:eastAsia="仿宋" w:cs="仿宋"/>
          <w:bCs/>
          <w:color w:val="auto"/>
          <w:kern w:val="0"/>
          <w:sz w:val="32"/>
          <w:szCs w:val="32"/>
          <w:highlight w:val="none"/>
        </w:rPr>
        <w:t>《教师授课情况问卷调查表》，</w:t>
      </w:r>
      <w:r>
        <w:rPr>
          <w:rFonts w:hint="eastAsia" w:ascii="仿宋" w:hAnsi="仿宋" w:eastAsia="仿宋" w:cs="仿宋"/>
          <w:bCs/>
          <w:color w:val="auto"/>
          <w:kern w:val="0"/>
          <w:sz w:val="32"/>
          <w:szCs w:val="32"/>
          <w:highlight w:val="none"/>
          <w:lang w:val="en-US" w:eastAsia="zh-CN"/>
        </w:rPr>
        <w:t>学生扫描二维码可以</w:t>
      </w:r>
      <w:r>
        <w:rPr>
          <w:rFonts w:hint="eastAsia" w:ascii="仿宋" w:hAnsi="仿宋" w:eastAsia="仿宋" w:cs="仿宋"/>
          <w:bCs/>
          <w:color w:val="auto"/>
          <w:kern w:val="0"/>
          <w:sz w:val="32"/>
          <w:szCs w:val="32"/>
          <w:highlight w:val="none"/>
        </w:rPr>
        <w:t>对每位教师的授课情况进行</w:t>
      </w:r>
      <w:r>
        <w:rPr>
          <w:rFonts w:hint="eastAsia" w:ascii="仿宋" w:hAnsi="仿宋" w:eastAsia="仿宋" w:cs="仿宋"/>
          <w:bCs/>
          <w:color w:val="auto"/>
          <w:kern w:val="0"/>
          <w:sz w:val="32"/>
          <w:szCs w:val="32"/>
          <w:highlight w:val="none"/>
          <w:lang w:val="en-US" w:eastAsia="zh-CN"/>
        </w:rPr>
        <w:t>评价</w:t>
      </w:r>
      <w:r>
        <w:rPr>
          <w:rFonts w:hint="eastAsia" w:ascii="仿宋" w:hAnsi="仿宋" w:eastAsia="仿宋" w:cs="仿宋"/>
          <w:bCs/>
          <w:color w:val="auto"/>
          <w:kern w:val="0"/>
          <w:sz w:val="32"/>
          <w:szCs w:val="32"/>
          <w:highlight w:val="none"/>
        </w:rPr>
        <w:t>，做好教师教学效果评价工作。</w:t>
      </w:r>
    </w:p>
    <w:p>
      <w:pPr>
        <w:pStyle w:val="2"/>
        <w:jc w:val="center"/>
        <w:rPr>
          <w:rFonts w:hint="eastAsia" w:eastAsia="仿宋"/>
          <w:color w:val="auto"/>
          <w:highlight w:val="none"/>
          <w:lang w:eastAsia="zh-CN"/>
        </w:rPr>
      </w:pPr>
      <w:r>
        <w:rPr>
          <w:rFonts w:hint="eastAsia" w:eastAsia="仿宋"/>
          <w:color w:val="auto"/>
          <w:highlight w:val="none"/>
          <w:lang w:eastAsia="zh-CN"/>
        </w:rPr>
        <w:drawing>
          <wp:inline distT="0" distB="0" distL="114300" distR="114300">
            <wp:extent cx="5273040" cy="8799195"/>
            <wp:effectExtent l="0" t="0" r="3810" b="1905"/>
            <wp:docPr id="2" name="图片 2" descr="九江电大教师问卷调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九江电大教师问卷调查"/>
                    <pic:cNvPicPr>
                      <a:picLocks noChangeAspect="1"/>
                    </pic:cNvPicPr>
                  </pic:nvPicPr>
                  <pic:blipFill>
                    <a:blip r:embed="rId5"/>
                    <a:stretch>
                      <a:fillRect/>
                    </a:stretch>
                  </pic:blipFill>
                  <pic:spPr>
                    <a:xfrm>
                      <a:off x="0" y="0"/>
                      <a:ext cx="5273040" cy="8799195"/>
                    </a:xfrm>
                    <a:prstGeom prst="rect">
                      <a:avLst/>
                    </a:prstGeom>
                  </pic:spPr>
                </pic:pic>
              </a:graphicData>
            </a:graphic>
          </wp:inline>
        </w:drawing>
      </w: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40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rPr>
        <w:t>表</w:t>
      </w:r>
      <w:r>
        <w:rPr>
          <w:rFonts w:hint="eastAsia" w:ascii="仿宋" w:hAnsi="仿宋" w:eastAsia="仿宋" w:cs="仿宋"/>
          <w:color w:val="auto"/>
          <w:kern w:val="0"/>
          <w:sz w:val="28"/>
          <w:szCs w:val="28"/>
          <w:highlight w:val="none"/>
          <w:lang w:val="en-US" w:eastAsia="zh-CN"/>
        </w:rPr>
        <w:t>2-4-4-1 2020</w:t>
      </w:r>
      <w:r>
        <w:rPr>
          <w:rFonts w:hint="eastAsia" w:ascii="仿宋" w:hAnsi="仿宋" w:eastAsia="仿宋" w:cs="仿宋"/>
          <w:color w:val="auto"/>
          <w:kern w:val="0"/>
          <w:sz w:val="28"/>
          <w:szCs w:val="28"/>
          <w:highlight w:val="none"/>
          <w:lang w:eastAsia="zh-CN"/>
        </w:rPr>
        <w:t>年度国开</w:t>
      </w:r>
      <w:r>
        <w:rPr>
          <w:rFonts w:hint="eastAsia" w:ascii="仿宋" w:hAnsi="仿宋" w:eastAsia="仿宋" w:cs="仿宋"/>
          <w:color w:val="auto"/>
          <w:kern w:val="0"/>
          <w:sz w:val="28"/>
          <w:szCs w:val="28"/>
          <w:highlight w:val="none"/>
          <w:lang w:val="en-US" w:eastAsia="zh-CN"/>
        </w:rPr>
        <w:t>学习网教学基本情况</w:t>
      </w:r>
    </w:p>
    <w:tbl>
      <w:tblPr>
        <w:tblStyle w:val="6"/>
        <w:tblW w:w="67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1283"/>
        <w:gridCol w:w="1217"/>
        <w:gridCol w:w="1110"/>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5"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学期</w:t>
            </w:r>
          </w:p>
        </w:tc>
        <w:tc>
          <w:tcPr>
            <w:tcW w:w="128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生师比</w:t>
            </w:r>
          </w:p>
        </w:tc>
        <w:tc>
          <w:tcPr>
            <w:tcW w:w="121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上线学生比例</w:t>
            </w:r>
          </w:p>
        </w:tc>
        <w:tc>
          <w:tcPr>
            <w:tcW w:w="11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上线教师比例</w:t>
            </w:r>
          </w:p>
        </w:tc>
        <w:tc>
          <w:tcPr>
            <w:tcW w:w="198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56.36</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105.79</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157.38</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60.58</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98.43</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83.19</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95"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12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11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1988"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r>
    </w:tbl>
    <w:p>
      <w:pPr>
        <w:pStyle w:val="10"/>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30"/>
          <w:szCs w:val="30"/>
          <w:highlight w:val="none"/>
          <w:lang w:val="en-US" w:eastAsia="zh-CN" w:bidi="ar-SA"/>
        </w:rPr>
      </w:pPr>
    </w:p>
    <w:p>
      <w:pPr>
        <w:pStyle w:val="10"/>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2-4-4-2</w:t>
      </w:r>
      <w:r>
        <w:rPr>
          <w:rFonts w:hint="eastAsia" w:ascii="仿宋" w:hAnsi="仿宋" w:eastAsia="仿宋" w:cs="仿宋"/>
          <w:color w:val="auto"/>
          <w:kern w:val="0"/>
          <w:sz w:val="28"/>
          <w:szCs w:val="28"/>
          <w:highlight w:val="none"/>
          <w:lang w:bidi="ar-SA"/>
        </w:rPr>
        <w:t xml:space="preserve"> </w:t>
      </w:r>
      <w:r>
        <w:rPr>
          <w:rFonts w:hint="eastAsia" w:ascii="仿宋" w:hAnsi="仿宋" w:eastAsia="仿宋" w:cs="仿宋"/>
          <w:color w:val="auto"/>
          <w:kern w:val="0"/>
          <w:sz w:val="28"/>
          <w:szCs w:val="28"/>
          <w:highlight w:val="none"/>
          <w:lang w:val="en-US" w:eastAsia="zh-CN" w:bidi="ar-SA"/>
        </w:rPr>
        <w:t>2020</w:t>
      </w:r>
      <w:r>
        <w:rPr>
          <w:rFonts w:hint="eastAsia" w:ascii="仿宋" w:hAnsi="仿宋" w:eastAsia="仿宋" w:cs="仿宋"/>
          <w:color w:val="auto"/>
          <w:kern w:val="0"/>
          <w:sz w:val="28"/>
          <w:szCs w:val="28"/>
          <w:highlight w:val="none"/>
          <w:lang w:eastAsia="zh-CN" w:bidi="ar-SA"/>
        </w:rPr>
        <w:t>年度国开</w:t>
      </w:r>
      <w:r>
        <w:rPr>
          <w:rFonts w:hint="eastAsia" w:ascii="仿宋" w:hAnsi="仿宋" w:eastAsia="仿宋" w:cs="仿宋"/>
          <w:color w:val="auto"/>
          <w:kern w:val="0"/>
          <w:sz w:val="28"/>
          <w:szCs w:val="28"/>
          <w:highlight w:val="none"/>
          <w:lang w:val="en-US" w:eastAsia="zh-CN" w:bidi="ar-SA"/>
        </w:rPr>
        <w:t>学习网教学支持服务情况</w:t>
      </w:r>
    </w:p>
    <w:tbl>
      <w:tblPr>
        <w:tblStyle w:val="5"/>
        <w:tblW w:w="8175" w:type="dxa"/>
        <w:jc w:val="center"/>
        <w:shd w:val="clear" w:color="auto" w:fill="auto"/>
        <w:tblLayout w:type="fixed"/>
        <w:tblCellMar>
          <w:top w:w="0" w:type="dxa"/>
          <w:left w:w="0" w:type="dxa"/>
          <w:bottom w:w="0" w:type="dxa"/>
          <w:right w:w="0" w:type="dxa"/>
        </w:tblCellMar>
      </w:tblPr>
      <w:tblGrid>
        <w:gridCol w:w="1225"/>
        <w:gridCol w:w="1200"/>
        <w:gridCol w:w="1084"/>
        <w:gridCol w:w="1128"/>
        <w:gridCol w:w="1138"/>
        <w:gridCol w:w="1017"/>
        <w:gridCol w:w="1383"/>
      </w:tblGrid>
      <w:tr>
        <w:tblPrEx>
          <w:shd w:val="clear" w:color="auto" w:fill="auto"/>
          <w:tblCellMar>
            <w:top w:w="0" w:type="dxa"/>
            <w:left w:w="0" w:type="dxa"/>
            <w:bottom w:w="0" w:type="dxa"/>
            <w:right w:w="0" w:type="dxa"/>
          </w:tblCellMar>
        </w:tblPrEx>
        <w:trPr>
          <w:trHeight w:val="1247" w:hRule="atLeas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教学季节</w:t>
            </w:r>
          </w:p>
        </w:tc>
        <w:tc>
          <w:tcPr>
            <w:tcW w:w="120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学生行</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为总数</w:t>
            </w:r>
          </w:p>
        </w:tc>
        <w:tc>
          <w:tcPr>
            <w:tcW w:w="1084"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学生在</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线天数</w:t>
            </w:r>
          </w:p>
        </w:tc>
        <w:tc>
          <w:tcPr>
            <w:tcW w:w="112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学生人均在线行为次数</w:t>
            </w:r>
          </w:p>
        </w:tc>
        <w:tc>
          <w:tcPr>
            <w:tcW w:w="113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教师行</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为总数</w:t>
            </w:r>
          </w:p>
        </w:tc>
        <w:tc>
          <w:tcPr>
            <w:tcW w:w="1017"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教师在</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线天数</w:t>
            </w:r>
          </w:p>
        </w:tc>
        <w:tc>
          <w:tcPr>
            <w:tcW w:w="1383"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教师人均在线行为次数</w:t>
            </w:r>
          </w:p>
        </w:tc>
      </w:tr>
      <w:tr>
        <w:tblPrEx>
          <w:tblCellMar>
            <w:top w:w="0" w:type="dxa"/>
            <w:left w:w="0" w:type="dxa"/>
            <w:bottom w:w="0" w:type="dxa"/>
            <w:right w:w="0" w:type="dxa"/>
          </w:tblCellMar>
        </w:tblPrEx>
        <w:trPr>
          <w:trHeight w:val="454"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18218781</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101897</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1395.65</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725790</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8060</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1512.06</w:t>
            </w:r>
          </w:p>
        </w:tc>
      </w:tr>
      <w:tr>
        <w:tblPrEx>
          <w:tblCellMar>
            <w:top w:w="0" w:type="dxa"/>
            <w:left w:w="0" w:type="dxa"/>
            <w:bottom w:w="0" w:type="dxa"/>
            <w:right w:w="0" w:type="dxa"/>
          </w:tblCellMar>
        </w:tblPrEx>
        <w:trPr>
          <w:trHeight w:val="454"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r>
      <w:tr>
        <w:tblPrEx>
          <w:tblCellMar>
            <w:top w:w="0" w:type="dxa"/>
            <w:left w:w="0" w:type="dxa"/>
            <w:bottom w:w="0" w:type="dxa"/>
            <w:right w:w="0" w:type="dxa"/>
          </w:tblCellMar>
        </w:tblPrEx>
        <w:trPr>
          <w:trHeight w:val="454"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24781289</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121565</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1608.13</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619779</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5326</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2197.8</w:t>
            </w:r>
          </w:p>
        </w:tc>
      </w:tr>
      <w:tr>
        <w:tblPrEx>
          <w:tblCellMar>
            <w:top w:w="0" w:type="dxa"/>
            <w:left w:w="0" w:type="dxa"/>
            <w:bottom w:w="0" w:type="dxa"/>
            <w:right w:w="0" w:type="dxa"/>
          </w:tblCellMar>
        </w:tblPrEx>
        <w:trPr>
          <w:trHeight w:val="454" w:hRule="exac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0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r>
    </w:tbl>
    <w:p>
      <w:pPr>
        <w:pStyle w:val="10"/>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both"/>
        <w:textAlignment w:val="center"/>
        <w:rPr>
          <w:rFonts w:hint="eastAsia" w:ascii="仿宋" w:hAnsi="仿宋" w:eastAsia="仿宋" w:cs="仿宋"/>
          <w:color w:val="auto"/>
          <w:kern w:val="0"/>
          <w:sz w:val="30"/>
          <w:szCs w:val="30"/>
          <w:highlight w:val="none"/>
          <w:lang w:val="en-US" w:eastAsia="zh-CN" w:bidi="ar-SA"/>
        </w:rPr>
      </w:pPr>
    </w:p>
    <w:p>
      <w:pPr>
        <w:pStyle w:val="10"/>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表2-4-4-3 2020年度开放教育面授教学基本情况</w:t>
      </w:r>
    </w:p>
    <w:tbl>
      <w:tblPr>
        <w:tblStyle w:val="6"/>
        <w:tblW w:w="6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2194"/>
        <w:gridCol w:w="2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61"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学期</w:t>
            </w:r>
          </w:p>
        </w:tc>
        <w:tc>
          <w:tcPr>
            <w:tcW w:w="219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面授辅导课次</w:t>
            </w:r>
          </w:p>
        </w:tc>
        <w:tc>
          <w:tcPr>
            <w:tcW w:w="274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6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219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10（网授）</w:t>
            </w:r>
          </w:p>
        </w:tc>
        <w:tc>
          <w:tcPr>
            <w:tcW w:w="274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6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2020秋</w:t>
            </w:r>
          </w:p>
        </w:tc>
        <w:tc>
          <w:tcPr>
            <w:tcW w:w="219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96</w:t>
            </w:r>
          </w:p>
        </w:tc>
        <w:tc>
          <w:tcPr>
            <w:tcW w:w="2743"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26%</w:t>
            </w:r>
          </w:p>
        </w:tc>
      </w:tr>
    </w:tbl>
    <w:p>
      <w:pPr>
        <w:pStyle w:val="10"/>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both"/>
        <w:textAlignment w:val="center"/>
        <w:rPr>
          <w:rFonts w:hint="eastAsia" w:ascii="仿宋" w:hAnsi="仿宋" w:eastAsia="仿宋" w:cs="仿宋"/>
          <w:color w:val="auto"/>
          <w:kern w:val="0"/>
          <w:sz w:val="30"/>
          <w:szCs w:val="30"/>
          <w:highlight w:val="none"/>
          <w:lang w:val="en-US" w:eastAsia="zh-CN" w:bidi="ar-SA"/>
        </w:rPr>
      </w:pPr>
    </w:p>
    <w:p>
      <w:pPr>
        <w:pStyle w:val="10"/>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表2-4-4-4 2020年度开放教育实践教学情况</w:t>
      </w:r>
    </w:p>
    <w:tbl>
      <w:tblPr>
        <w:tblStyle w:val="6"/>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2574"/>
        <w:gridCol w:w="2486"/>
        <w:gridCol w:w="2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02"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学期</w:t>
            </w:r>
          </w:p>
        </w:tc>
        <w:tc>
          <w:tcPr>
            <w:tcW w:w="257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实践基地新增数量</w:t>
            </w:r>
          </w:p>
        </w:tc>
        <w:tc>
          <w:tcPr>
            <w:tcW w:w="2486"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实践基地总数</w:t>
            </w:r>
          </w:p>
        </w:tc>
        <w:tc>
          <w:tcPr>
            <w:tcW w:w="251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0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257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2486"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60</w:t>
            </w:r>
          </w:p>
        </w:tc>
        <w:tc>
          <w:tcPr>
            <w:tcW w:w="25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0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2020秋</w:t>
            </w:r>
          </w:p>
        </w:tc>
        <w:tc>
          <w:tcPr>
            <w:tcW w:w="2574"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2486"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64</w:t>
            </w:r>
          </w:p>
        </w:tc>
        <w:tc>
          <w:tcPr>
            <w:tcW w:w="2517"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164</w:t>
            </w:r>
          </w:p>
        </w:tc>
      </w:tr>
    </w:tbl>
    <w:p>
      <w:pPr>
        <w:pStyle w:val="3"/>
        <w:spacing w:after="0" w:line="560" w:lineRule="exact"/>
        <w:ind w:firstLine="640" w:firstLineChars="200"/>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5.考试组织情况</w:t>
      </w:r>
    </w:p>
    <w:p>
      <w:pPr>
        <w:keepNext w:val="0"/>
        <w:keepLines w:val="0"/>
        <w:widowControl/>
        <w:suppressLineNumbers w:val="0"/>
        <w:ind w:firstLine="640" w:firstLineChars="200"/>
        <w:jc w:val="left"/>
        <w:rPr>
          <w:rFonts w:hint="eastAsia"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根据国家开放大学和省校的统一部署，落实“治考”要求，</w:t>
      </w:r>
      <w:r>
        <w:rPr>
          <w:rFonts w:hint="eastAsia" w:ascii="仿宋" w:hAnsi="仿宋" w:eastAsia="仿宋" w:cs="宋体"/>
          <w:color w:val="auto"/>
          <w:kern w:val="0"/>
          <w:sz w:val="32"/>
          <w:szCs w:val="32"/>
          <w:highlight w:val="none"/>
          <w:lang w:eastAsia="zh-CN"/>
        </w:rPr>
        <w:t>一是</w:t>
      </w:r>
      <w:r>
        <w:rPr>
          <w:rFonts w:hint="eastAsia" w:ascii="仿宋" w:hAnsi="仿宋" w:eastAsia="仿宋" w:cs="宋体"/>
          <w:color w:val="auto"/>
          <w:kern w:val="0"/>
          <w:sz w:val="32"/>
          <w:szCs w:val="32"/>
          <w:highlight w:val="none"/>
        </w:rPr>
        <w:t>由校领导成立考试工作领导小组</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考前召开全市考点考试工作会议、巡考工作会议、校本部考点考务工作会议，落实</w:t>
      </w:r>
      <w:r>
        <w:rPr>
          <w:rFonts w:hint="eastAsia" w:ascii="仿宋" w:hAnsi="仿宋" w:eastAsia="仿宋" w:cs="宋体"/>
          <w:color w:val="auto"/>
          <w:kern w:val="0"/>
          <w:sz w:val="32"/>
          <w:szCs w:val="32"/>
          <w:highlight w:val="none"/>
          <w:lang w:eastAsia="zh-CN"/>
        </w:rPr>
        <w:t>国家开放大学和省校</w:t>
      </w:r>
      <w:r>
        <w:rPr>
          <w:rFonts w:hint="eastAsia" w:ascii="仿宋" w:hAnsi="仿宋" w:eastAsia="仿宋" w:cs="宋体"/>
          <w:color w:val="auto"/>
          <w:kern w:val="0"/>
          <w:sz w:val="32"/>
          <w:szCs w:val="32"/>
          <w:highlight w:val="none"/>
        </w:rPr>
        <w:t>考务会精神</w:t>
      </w:r>
      <w:r>
        <w:rPr>
          <w:rFonts w:hint="eastAsia" w:ascii="仿宋" w:hAnsi="仿宋" w:eastAsia="仿宋" w:cs="宋体"/>
          <w:color w:val="auto"/>
          <w:kern w:val="0"/>
          <w:sz w:val="32"/>
          <w:szCs w:val="32"/>
          <w:highlight w:val="none"/>
          <w:lang w:eastAsia="zh-CN"/>
        </w:rPr>
        <w:t>；二是</w:t>
      </w:r>
      <w:r>
        <w:rPr>
          <w:rFonts w:hint="eastAsia" w:ascii="仿宋" w:hAnsi="仿宋" w:eastAsia="仿宋" w:cs="宋体"/>
          <w:color w:val="auto"/>
          <w:kern w:val="0"/>
          <w:sz w:val="32"/>
          <w:szCs w:val="32"/>
          <w:highlight w:val="none"/>
        </w:rPr>
        <w:t>对</w:t>
      </w:r>
      <w:r>
        <w:rPr>
          <w:rFonts w:hint="eastAsia" w:ascii="仿宋" w:hAnsi="仿宋" w:eastAsia="仿宋" w:cs="宋体"/>
          <w:color w:val="auto"/>
          <w:kern w:val="0"/>
          <w:sz w:val="32"/>
          <w:szCs w:val="32"/>
          <w:highlight w:val="none"/>
          <w:lang w:eastAsia="zh-CN"/>
        </w:rPr>
        <w:t>考务人员</w:t>
      </w:r>
      <w:r>
        <w:rPr>
          <w:rFonts w:hint="eastAsia" w:ascii="仿宋" w:hAnsi="仿宋" w:eastAsia="仿宋" w:cs="宋体"/>
          <w:color w:val="auto"/>
          <w:kern w:val="0"/>
          <w:sz w:val="32"/>
          <w:szCs w:val="32"/>
          <w:highlight w:val="none"/>
        </w:rPr>
        <w:t>及监考教师进行培训，布置考试工作安排，明确职责、落实到人，</w:t>
      </w:r>
      <w:r>
        <w:rPr>
          <w:rFonts w:hint="eastAsia" w:ascii="仿宋" w:hAnsi="仿宋" w:eastAsia="仿宋" w:cs="宋体"/>
          <w:color w:val="auto"/>
          <w:kern w:val="0"/>
          <w:sz w:val="32"/>
          <w:szCs w:val="32"/>
          <w:highlight w:val="none"/>
          <w:lang w:eastAsia="zh-CN"/>
        </w:rPr>
        <w:t>并</w:t>
      </w:r>
      <w:r>
        <w:rPr>
          <w:rFonts w:hint="eastAsia" w:ascii="仿宋" w:hAnsi="仿宋" w:eastAsia="仿宋" w:cs="宋体"/>
          <w:color w:val="auto"/>
          <w:kern w:val="0"/>
          <w:sz w:val="32"/>
          <w:szCs w:val="32"/>
          <w:highlight w:val="none"/>
        </w:rPr>
        <w:t>要求各个班主任对</w:t>
      </w:r>
      <w:r>
        <w:rPr>
          <w:rFonts w:hint="eastAsia" w:ascii="仿宋" w:hAnsi="仿宋" w:eastAsia="仿宋" w:cs="宋体"/>
          <w:color w:val="auto"/>
          <w:kern w:val="0"/>
          <w:sz w:val="32"/>
          <w:szCs w:val="32"/>
          <w:highlight w:val="none"/>
          <w:lang w:eastAsia="zh-CN"/>
        </w:rPr>
        <w:t>学生</w:t>
      </w:r>
      <w:r>
        <w:rPr>
          <w:rFonts w:hint="eastAsia" w:ascii="仿宋" w:hAnsi="仿宋" w:eastAsia="仿宋" w:cs="宋体"/>
          <w:color w:val="auto"/>
          <w:kern w:val="0"/>
          <w:sz w:val="32"/>
          <w:szCs w:val="32"/>
          <w:highlight w:val="none"/>
        </w:rPr>
        <w:t>进行诚信教育</w:t>
      </w:r>
      <w:r>
        <w:rPr>
          <w:rFonts w:hint="eastAsia" w:ascii="仿宋" w:hAnsi="仿宋" w:eastAsia="仿宋" w:cs="宋体"/>
          <w:color w:val="auto"/>
          <w:kern w:val="0"/>
          <w:sz w:val="32"/>
          <w:szCs w:val="32"/>
          <w:highlight w:val="none"/>
          <w:lang w:eastAsia="zh-CN"/>
        </w:rPr>
        <w:t>；三是</w:t>
      </w:r>
      <w:r>
        <w:rPr>
          <w:rFonts w:hint="eastAsia" w:ascii="仿宋" w:hAnsi="仿宋" w:eastAsia="仿宋" w:cs="宋体"/>
          <w:color w:val="auto"/>
          <w:kern w:val="0"/>
          <w:sz w:val="32"/>
          <w:szCs w:val="32"/>
          <w:highlight w:val="none"/>
        </w:rPr>
        <w:t>下派由本部中层以上领</w:t>
      </w:r>
      <w:r>
        <w:rPr>
          <w:rFonts w:hint="eastAsia" w:ascii="仿宋" w:hAnsi="仿宋" w:eastAsia="仿宋" w:cs="宋体"/>
          <w:color w:val="auto"/>
          <w:kern w:val="0"/>
          <w:sz w:val="32"/>
          <w:szCs w:val="32"/>
          <w:highlight w:val="none"/>
          <w:lang w:eastAsia="zh-CN"/>
        </w:rPr>
        <w:t>导组成的巡考组，要求巡考参照巡视要点及标准对各考点进行考评，填写“巡考操作规程”和“巡考日志”，要求各考点主考务必按照上级规定要求组考；四是所有考点均在考试前编制“考试秩序册”，召开考务会，所有考点均在考前按要求对考场布置，并进行信息采集。省校飞巡组对校本部、</w:t>
      </w:r>
      <w:r>
        <w:rPr>
          <w:rFonts w:hint="eastAsia" w:ascii="仿宋" w:hAnsi="仿宋" w:eastAsia="仿宋" w:cs="宋体"/>
          <w:color w:val="auto"/>
          <w:kern w:val="0"/>
          <w:sz w:val="32"/>
          <w:szCs w:val="32"/>
          <w:highlight w:val="none"/>
          <w:lang w:val="en-US" w:eastAsia="zh-CN"/>
        </w:rPr>
        <w:t>省武工作站、湖口县工作站、柴桑区工作站4个</w:t>
      </w:r>
      <w:r>
        <w:rPr>
          <w:rFonts w:hint="eastAsia" w:ascii="仿宋" w:hAnsi="仿宋" w:eastAsia="仿宋" w:cs="宋体"/>
          <w:color w:val="auto"/>
          <w:kern w:val="0"/>
          <w:sz w:val="32"/>
          <w:szCs w:val="32"/>
          <w:highlight w:val="none"/>
          <w:lang w:val="en-US" w:eastAsia="zh-CN"/>
        </w:rPr>
        <w:t>考点</w:t>
      </w:r>
      <w:r>
        <w:rPr>
          <w:rFonts w:hint="eastAsia" w:ascii="仿宋" w:hAnsi="仿宋" w:eastAsia="仿宋" w:cs="宋体"/>
          <w:color w:val="auto"/>
          <w:kern w:val="0"/>
          <w:sz w:val="32"/>
          <w:szCs w:val="32"/>
          <w:highlight w:val="none"/>
          <w:lang w:eastAsia="zh-CN"/>
        </w:rPr>
        <w:t>2020秋季考</w:t>
      </w:r>
      <w:r>
        <w:rPr>
          <w:rFonts w:hint="eastAsia" w:ascii="仿宋" w:hAnsi="仿宋" w:eastAsia="仿宋" w:cs="宋体"/>
          <w:color w:val="auto"/>
          <w:kern w:val="0"/>
          <w:sz w:val="32"/>
          <w:szCs w:val="32"/>
          <w:highlight w:val="none"/>
        </w:rPr>
        <w:t>试工作进行了检查，总体上比较满意，特别对校本部的组考规范、考场秩序、疫情防控等方面提出了表扬</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 xml:space="preserve"> </w:t>
      </w:r>
    </w:p>
    <w:p>
      <w:pPr>
        <w:widowControl/>
        <w:spacing w:line="560" w:lineRule="exact"/>
        <w:ind w:firstLine="640" w:firstLineChars="200"/>
        <w:rPr>
          <w:rFonts w:hint="eastAsia" w:ascii="仿宋" w:hAnsi="仿宋" w:eastAsia="仿宋" w:cs="宋体"/>
          <w:color w:val="auto"/>
          <w:kern w:val="0"/>
          <w:sz w:val="32"/>
          <w:szCs w:val="32"/>
          <w:highlight w:val="none"/>
          <w:lang w:eastAsia="zh-CN"/>
        </w:rPr>
      </w:pPr>
      <w:r>
        <w:rPr>
          <w:rFonts w:hint="eastAsia" w:ascii="仿宋" w:hAnsi="仿宋" w:eastAsia="仿宋" w:cs="宋体"/>
          <w:color w:val="auto"/>
          <w:kern w:val="0"/>
          <w:sz w:val="32"/>
          <w:szCs w:val="32"/>
          <w:highlight w:val="none"/>
          <w:lang w:val="en-US" w:eastAsia="zh-CN"/>
        </w:rPr>
        <w:t>2020年学校</w:t>
      </w:r>
      <w:r>
        <w:rPr>
          <w:rFonts w:hint="eastAsia" w:ascii="仿宋" w:hAnsi="仿宋" w:eastAsia="仿宋" w:cs="宋体"/>
          <w:color w:val="auto"/>
          <w:kern w:val="0"/>
          <w:sz w:val="32"/>
          <w:szCs w:val="32"/>
          <w:highlight w:val="none"/>
        </w:rPr>
        <w:t>荣获“试点高校网络教育部分公共基础课统一考试统考优秀考点”</w:t>
      </w:r>
      <w:r>
        <w:rPr>
          <w:rFonts w:hint="eastAsia" w:ascii="仿宋" w:hAnsi="仿宋" w:eastAsia="仿宋" w:cs="宋体"/>
          <w:color w:val="auto"/>
          <w:kern w:val="0"/>
          <w:sz w:val="32"/>
          <w:szCs w:val="32"/>
          <w:highlight w:val="none"/>
          <w:lang w:eastAsia="zh-CN"/>
        </w:rPr>
        <w:t>。</w:t>
      </w:r>
    </w:p>
    <w:p>
      <w:pPr>
        <w:widowControl/>
        <w:adjustRightInd w:val="0"/>
        <w:snapToGrid w:val="0"/>
        <w:spacing w:line="5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-5</w:t>
      </w:r>
      <w:r>
        <w:rPr>
          <w:rFonts w:hint="eastAsia" w:ascii="仿宋" w:hAnsi="仿宋" w:eastAsia="仿宋" w:cs="仿宋"/>
          <w:color w:val="auto"/>
          <w:kern w:val="0"/>
          <w:sz w:val="28"/>
          <w:szCs w:val="28"/>
          <w:highlight w:val="none"/>
          <w:lang w:val="en-US" w:eastAsia="zh-CN"/>
        </w:rPr>
        <w:t xml:space="preserve"> </w:t>
      </w:r>
      <w:r>
        <w:rPr>
          <w:rFonts w:hint="eastAsia" w:ascii="仿宋" w:hAnsi="仿宋" w:eastAsia="仿宋" w:cs="仿宋"/>
          <w:color w:val="auto"/>
          <w:kern w:val="0"/>
          <w:sz w:val="28"/>
          <w:szCs w:val="28"/>
          <w:highlight w:val="none"/>
        </w:rPr>
        <w:t>2020年度</w:t>
      </w:r>
      <w:r>
        <w:rPr>
          <w:rFonts w:hint="eastAsia" w:ascii="仿宋" w:hAnsi="仿宋" w:eastAsia="仿宋" w:cs="仿宋"/>
          <w:color w:val="auto"/>
          <w:kern w:val="0"/>
          <w:sz w:val="28"/>
          <w:szCs w:val="28"/>
          <w:highlight w:val="none"/>
          <w:lang w:eastAsia="zh-CN"/>
        </w:rPr>
        <w:t>开放教育</w:t>
      </w:r>
      <w:r>
        <w:rPr>
          <w:rFonts w:hint="eastAsia" w:ascii="仿宋" w:hAnsi="仿宋" w:eastAsia="仿宋" w:cs="仿宋"/>
          <w:color w:val="auto"/>
          <w:kern w:val="0"/>
          <w:sz w:val="28"/>
          <w:szCs w:val="28"/>
          <w:highlight w:val="none"/>
        </w:rPr>
        <w:t>考试情况</w:t>
      </w:r>
    </w:p>
    <w:tbl>
      <w:tblPr>
        <w:tblStyle w:val="6"/>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9"/>
        <w:gridCol w:w="1637"/>
        <w:gridCol w:w="1788"/>
        <w:gridCol w:w="1782"/>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539"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学期</w:t>
            </w:r>
          </w:p>
        </w:tc>
        <w:tc>
          <w:tcPr>
            <w:tcW w:w="163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实考人数</w:t>
            </w:r>
          </w:p>
        </w:tc>
        <w:tc>
          <w:tcPr>
            <w:tcW w:w="178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实考率</w:t>
            </w:r>
          </w:p>
        </w:tc>
        <w:tc>
          <w:tcPr>
            <w:tcW w:w="1782"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合格人数</w:t>
            </w:r>
          </w:p>
        </w:tc>
        <w:tc>
          <w:tcPr>
            <w:tcW w:w="177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53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1637"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76806</w:t>
            </w:r>
          </w:p>
        </w:tc>
        <w:tc>
          <w:tcPr>
            <w:tcW w:w="178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94.25 </w:t>
            </w:r>
          </w:p>
        </w:tc>
        <w:tc>
          <w:tcPr>
            <w:tcW w:w="1782"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70015</w:t>
            </w:r>
          </w:p>
        </w:tc>
        <w:tc>
          <w:tcPr>
            <w:tcW w:w="177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91.16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539"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2020秋</w:t>
            </w:r>
          </w:p>
        </w:tc>
        <w:tc>
          <w:tcPr>
            <w:tcW w:w="1637"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88592</w:t>
            </w:r>
          </w:p>
        </w:tc>
        <w:tc>
          <w:tcPr>
            <w:tcW w:w="178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95.98 </w:t>
            </w:r>
          </w:p>
        </w:tc>
        <w:tc>
          <w:tcPr>
            <w:tcW w:w="1782"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84015</w:t>
            </w:r>
          </w:p>
        </w:tc>
        <w:tc>
          <w:tcPr>
            <w:tcW w:w="177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94.83 </w:t>
            </w:r>
          </w:p>
        </w:tc>
      </w:tr>
    </w:tbl>
    <w:p>
      <w:pPr>
        <w:pStyle w:val="3"/>
        <w:spacing w:after="0" w:line="560" w:lineRule="exact"/>
        <w:ind w:firstLine="640" w:firstLineChars="200"/>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6.教学检查结果</w:t>
      </w:r>
    </w:p>
    <w:p>
      <w:pPr>
        <w:widowControl/>
        <w:adjustRightInd w:val="0"/>
        <w:snapToGrid w:val="0"/>
        <w:spacing w:line="560" w:lineRule="exact"/>
        <w:jc w:val="center"/>
        <w:textAlignment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-6 2020年度</w:t>
      </w:r>
      <w:r>
        <w:rPr>
          <w:rFonts w:hint="eastAsia" w:ascii="仿宋" w:hAnsi="仿宋" w:eastAsia="仿宋" w:cs="仿宋"/>
          <w:color w:val="auto"/>
          <w:kern w:val="0"/>
          <w:sz w:val="28"/>
          <w:szCs w:val="28"/>
          <w:highlight w:val="none"/>
          <w:lang w:eastAsia="zh-CN"/>
        </w:rPr>
        <w:t>国家开放大学</w:t>
      </w:r>
      <w:r>
        <w:rPr>
          <w:rFonts w:hint="eastAsia" w:ascii="仿宋" w:hAnsi="仿宋" w:eastAsia="仿宋" w:cs="仿宋"/>
          <w:color w:val="auto"/>
          <w:kern w:val="0"/>
          <w:sz w:val="28"/>
          <w:szCs w:val="28"/>
          <w:highlight w:val="none"/>
        </w:rPr>
        <w:t>学习网教学检查排名</w:t>
      </w:r>
    </w:p>
    <w:tbl>
      <w:tblPr>
        <w:tblStyle w:val="6"/>
        <w:tblW w:w="8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7"/>
        <w:gridCol w:w="2187"/>
        <w:gridCol w:w="2013"/>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287" w:type="dxa"/>
            <w:shd w:val="clear" w:color="auto" w:fill="D7D7D7" w:themeFill="background1" w:themeFillShade="D8"/>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2020春季总分</w:t>
            </w:r>
          </w:p>
        </w:tc>
        <w:tc>
          <w:tcPr>
            <w:tcW w:w="2187" w:type="dxa"/>
            <w:shd w:val="clear" w:color="auto" w:fill="D7D7D7" w:themeFill="background1" w:themeFillShade="D8"/>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2020春季排名</w:t>
            </w:r>
          </w:p>
        </w:tc>
        <w:tc>
          <w:tcPr>
            <w:tcW w:w="2013" w:type="dxa"/>
            <w:shd w:val="clear" w:color="auto" w:fill="D7D7D7" w:themeFill="background1" w:themeFillShade="D8"/>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2020秋季总分</w:t>
            </w:r>
          </w:p>
        </w:tc>
        <w:tc>
          <w:tcPr>
            <w:tcW w:w="2127" w:type="dxa"/>
            <w:shd w:val="clear" w:color="auto" w:fill="D7D7D7" w:themeFill="background1" w:themeFillShade="D8"/>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2020秋季排名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287" w:type="dxa"/>
            <w:vAlign w:val="center"/>
          </w:tcPr>
          <w:p>
            <w:pPr>
              <w:keepNext w:val="0"/>
              <w:keepLines w:val="0"/>
              <w:widowControl/>
              <w:suppressLineNumbers w:val="0"/>
              <w:jc w:val="center"/>
              <w:textAlignment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i w:val="0"/>
                <w:color w:val="auto"/>
                <w:kern w:val="0"/>
                <w:sz w:val="28"/>
                <w:szCs w:val="28"/>
                <w:highlight w:val="none"/>
                <w:u w:val="none"/>
                <w:lang w:val="en-US" w:eastAsia="zh-CN" w:bidi="ar"/>
              </w:rPr>
              <w:t>52.40950239</w:t>
            </w:r>
          </w:p>
        </w:tc>
        <w:tc>
          <w:tcPr>
            <w:tcW w:w="2187" w:type="dxa"/>
            <w:vAlign w:val="center"/>
          </w:tcPr>
          <w:p>
            <w:pPr>
              <w:keepNext w:val="0"/>
              <w:keepLines w:val="0"/>
              <w:widowControl/>
              <w:suppressLineNumbers w:val="0"/>
              <w:jc w:val="center"/>
              <w:textAlignment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i w:val="0"/>
                <w:color w:val="auto"/>
                <w:kern w:val="0"/>
                <w:sz w:val="28"/>
                <w:szCs w:val="28"/>
                <w:highlight w:val="none"/>
                <w:u w:val="none"/>
                <w:lang w:val="en-US" w:eastAsia="zh-CN" w:bidi="ar"/>
              </w:rPr>
              <w:t>3</w:t>
            </w:r>
          </w:p>
        </w:tc>
        <w:tc>
          <w:tcPr>
            <w:tcW w:w="2013" w:type="dxa"/>
            <w:vAlign w:val="center"/>
          </w:tcPr>
          <w:p>
            <w:pPr>
              <w:keepNext w:val="0"/>
              <w:keepLines w:val="0"/>
              <w:widowControl/>
              <w:suppressLineNumbers w:val="0"/>
              <w:jc w:val="center"/>
              <w:textAlignment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i w:val="0"/>
                <w:color w:val="auto"/>
                <w:kern w:val="0"/>
                <w:sz w:val="28"/>
                <w:szCs w:val="28"/>
                <w:highlight w:val="none"/>
                <w:u w:val="none"/>
                <w:lang w:val="en-US" w:eastAsia="zh-CN" w:bidi="ar"/>
              </w:rPr>
              <w:t>50.65620844</w:t>
            </w:r>
          </w:p>
        </w:tc>
        <w:tc>
          <w:tcPr>
            <w:tcW w:w="2127" w:type="dxa"/>
            <w:vAlign w:val="center"/>
          </w:tcPr>
          <w:p>
            <w:pPr>
              <w:keepNext w:val="0"/>
              <w:keepLines w:val="0"/>
              <w:widowControl/>
              <w:suppressLineNumbers w:val="0"/>
              <w:jc w:val="center"/>
              <w:textAlignment w:val="center"/>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i w:val="0"/>
                <w:color w:val="auto"/>
                <w:kern w:val="0"/>
                <w:sz w:val="28"/>
                <w:szCs w:val="28"/>
                <w:highlight w:val="none"/>
                <w:u w:val="none"/>
                <w:lang w:val="en-US" w:eastAsia="zh-CN" w:bidi="ar"/>
              </w:rPr>
              <w:t>4</w:t>
            </w:r>
          </w:p>
        </w:tc>
      </w:tr>
    </w:tbl>
    <w:p>
      <w:pPr>
        <w:keepNext w:val="0"/>
        <w:keepLines w:val="0"/>
        <w:pageBreakBefore w:val="0"/>
        <w:widowControl w:val="0"/>
        <w:kinsoku/>
        <w:wordWrap/>
        <w:overflowPunct/>
        <w:topLinePunct w:val="0"/>
        <w:autoSpaceDE/>
        <w:autoSpaceDN/>
        <w:bidi w:val="0"/>
        <w:adjustRightInd w:val="0"/>
        <w:snapToGrid w:val="0"/>
        <w:spacing w:line="576" w:lineRule="exact"/>
        <w:ind w:firstLine="640" w:firstLineChars="200"/>
        <w:textAlignment w:val="auto"/>
        <w:rPr>
          <w:rFonts w:ascii="楷体" w:hAnsi="楷体" w:eastAsia="楷体" w:cs="楷体"/>
          <w:b w:val="0"/>
          <w:bCs w:val="0"/>
          <w:color w:val="auto"/>
          <w:kern w:val="0"/>
          <w:sz w:val="32"/>
          <w:szCs w:val="32"/>
          <w:highlight w:val="none"/>
        </w:rPr>
      </w:pPr>
      <w:r>
        <w:rPr>
          <w:rFonts w:hint="eastAsia" w:ascii="楷体" w:hAnsi="楷体" w:eastAsia="楷体" w:cs="楷体"/>
          <w:b w:val="0"/>
          <w:bCs w:val="0"/>
          <w:color w:val="auto"/>
          <w:kern w:val="0"/>
          <w:sz w:val="32"/>
          <w:szCs w:val="32"/>
          <w:highlight w:val="none"/>
        </w:rPr>
        <w:t>（五）思政教育和学生工作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eastAsia="仿宋"/>
          <w:color w:val="auto"/>
          <w:highlight w:val="none"/>
          <w:lang w:eastAsia="zh-CN"/>
        </w:rPr>
      </w:pPr>
      <w:r>
        <w:rPr>
          <w:rFonts w:hint="eastAsia" w:ascii="仿宋" w:hAnsi="仿宋" w:eastAsia="仿宋" w:cs="仿宋"/>
          <w:color w:val="auto"/>
          <w:sz w:val="32"/>
          <w:szCs w:val="32"/>
          <w:highlight w:val="none"/>
          <w:lang w:eastAsia="zh-CN"/>
        </w:rPr>
        <w:t>一是</w:t>
      </w:r>
      <w:r>
        <w:rPr>
          <w:rFonts w:hint="eastAsia" w:ascii="仿宋" w:hAnsi="仿宋" w:eastAsia="仿宋" w:cs="仿宋"/>
          <w:color w:val="auto"/>
          <w:sz w:val="32"/>
          <w:szCs w:val="32"/>
          <w:highlight w:val="none"/>
        </w:rPr>
        <w:t>学校领导牢固树立“立德树人”观念，牢牢把握学生思想动态，亲自担任各专业班思政辅导员，亲自为学员授课</w:t>
      </w:r>
      <w:r>
        <w:rPr>
          <w:rFonts w:hint="eastAsia" w:ascii="仿宋" w:hAnsi="仿宋" w:eastAsia="仿宋" w:cs="仿宋"/>
          <w:color w:val="auto"/>
          <w:sz w:val="32"/>
          <w:szCs w:val="32"/>
          <w:highlight w:val="none"/>
          <w:lang w:eastAsia="zh-CN"/>
        </w:rPr>
        <w:t>；二是</w:t>
      </w:r>
      <w:r>
        <w:rPr>
          <w:rFonts w:hint="eastAsia" w:ascii="仿宋" w:hAnsi="仿宋" w:eastAsia="仿宋" w:cs="仿宋"/>
          <w:color w:val="auto"/>
          <w:sz w:val="32"/>
          <w:szCs w:val="32"/>
          <w:highlight w:val="none"/>
        </w:rPr>
        <w:t>组织思政课教师制作视频课程，运用到实际教学工作中</w:t>
      </w:r>
      <w:r>
        <w:rPr>
          <w:rFonts w:hint="eastAsia" w:ascii="仿宋" w:hAnsi="仿宋" w:eastAsia="仿宋" w:cs="仿宋"/>
          <w:color w:val="auto"/>
          <w:sz w:val="32"/>
          <w:szCs w:val="32"/>
          <w:highlight w:val="none"/>
          <w:lang w:eastAsia="zh-CN"/>
        </w:rPr>
        <w:t>；三是</w:t>
      </w:r>
      <w:r>
        <w:rPr>
          <w:rFonts w:hint="eastAsia" w:ascii="仿宋" w:hAnsi="仿宋" w:eastAsia="仿宋" w:cs="仿宋"/>
          <w:color w:val="auto"/>
          <w:sz w:val="32"/>
          <w:szCs w:val="32"/>
          <w:highlight w:val="none"/>
        </w:rPr>
        <w:t>狠抓学生政治思想建设，2020年举办“新时代学生思想政治教育工作”研讨，将学生的思想政治教育融入具体的教学中，将学生的思想政治教育和学生活动结合起来</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参加“第六届中国国际互联网大学生创新创业大赛”初赛</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“教育部‘一村一名大学生计划’”学生优秀创新创业案例评选活动</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“同心战疫、书写青春”防疫征文活动</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“网上重走长征路”暨线上“红色走读”活动</w:t>
      </w:r>
      <w:r>
        <w:rPr>
          <w:rFonts w:hint="eastAsia" w:ascii="仿宋" w:hAnsi="仿宋" w:eastAsia="仿宋" w:cs="仿宋"/>
          <w:color w:val="auto"/>
          <w:sz w:val="32"/>
          <w:szCs w:val="32"/>
          <w:highlight w:val="none"/>
          <w:lang w:eastAsia="zh-CN"/>
        </w:rPr>
        <w:t>，获奖颇多。</w:t>
      </w:r>
    </w:p>
    <w:p>
      <w:pPr>
        <w:pStyle w:val="3"/>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三、办学条件</w:t>
      </w:r>
    </w:p>
    <w:p>
      <w:pPr>
        <w:pStyle w:val="3"/>
        <w:keepNext w:val="0"/>
        <w:keepLines w:val="0"/>
        <w:pageBreakBefore w:val="0"/>
        <w:widowControl w:val="0"/>
        <w:kinsoku/>
        <w:wordWrap/>
        <w:overflowPunct/>
        <w:topLinePunct w:val="0"/>
        <w:autoSpaceDE/>
        <w:autoSpaceDN/>
        <w:bidi w:val="0"/>
        <w:adjustRightInd/>
        <w:snapToGrid/>
        <w:spacing w:after="0" w:line="576" w:lineRule="exact"/>
        <w:ind w:left="0" w:firstLine="640" w:firstLineChars="200"/>
        <w:textAlignment w:val="auto"/>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（一）办学场地与设施</w:t>
      </w:r>
    </w:p>
    <w:p>
      <w:pPr>
        <w:pStyle w:val="3"/>
        <w:keepNext w:val="0"/>
        <w:keepLines w:val="0"/>
        <w:pageBreakBefore w:val="0"/>
        <w:widowControl w:val="0"/>
        <w:kinsoku/>
        <w:wordWrap/>
        <w:overflowPunct/>
        <w:topLinePunct w:val="0"/>
        <w:autoSpaceDE/>
        <w:autoSpaceDN/>
        <w:bidi w:val="0"/>
        <w:adjustRightInd/>
        <w:snapToGrid/>
        <w:spacing w:after="0" w:line="576" w:lineRule="exact"/>
        <w:ind w:left="0" w:firstLine="640" w:firstLineChars="200"/>
        <w:textAlignment w:val="auto"/>
        <w:rPr>
          <w:rFonts w:ascii="楷体" w:hAnsi="楷体" w:eastAsia="楷体" w:cs="楷体"/>
          <w:b/>
          <w:bCs/>
          <w:color w:val="auto"/>
          <w:sz w:val="32"/>
          <w:szCs w:val="32"/>
          <w:highlight w:val="none"/>
        </w:rPr>
      </w:pPr>
      <w:r>
        <w:rPr>
          <w:rFonts w:hint="eastAsia" w:ascii="仿宋" w:hAnsi="仿宋" w:eastAsia="仿宋" w:cs="仿宋"/>
          <w:color w:val="auto"/>
          <w:sz w:val="32"/>
          <w:szCs w:val="32"/>
          <w:highlight w:val="none"/>
        </w:rPr>
        <w:t>抓好实践基地建设，已签订协议的实践教学基地</w:t>
      </w:r>
      <w:r>
        <w:rPr>
          <w:rFonts w:hint="eastAsia" w:ascii="仿宋" w:hAnsi="仿宋" w:eastAsia="仿宋" w:cs="仿宋"/>
          <w:color w:val="auto"/>
          <w:sz w:val="32"/>
          <w:szCs w:val="32"/>
          <w:highlight w:val="none"/>
          <w:lang w:eastAsia="zh-CN"/>
        </w:rPr>
        <w:t>共</w:t>
      </w:r>
      <w:r>
        <w:rPr>
          <w:rFonts w:hint="eastAsia" w:ascii="仿宋" w:hAnsi="仿宋" w:eastAsia="仿宋" w:cs="仿宋"/>
          <w:color w:val="auto"/>
          <w:sz w:val="32"/>
          <w:szCs w:val="32"/>
          <w:highlight w:val="none"/>
        </w:rPr>
        <w:t>有50多个，涉及种养殖、旅游、园林艺术等方面</w:t>
      </w:r>
      <w:r>
        <w:rPr>
          <w:rFonts w:hint="eastAsia" w:ascii="仿宋" w:hAnsi="仿宋" w:eastAsia="仿宋" w:cs="仿宋"/>
          <w:color w:val="auto"/>
          <w:sz w:val="32"/>
          <w:szCs w:val="32"/>
          <w:highlight w:val="none"/>
          <w:lang w:eastAsia="zh-CN"/>
        </w:rPr>
        <w:t>，覆盖</w:t>
      </w:r>
      <w:r>
        <w:rPr>
          <w:rFonts w:hint="eastAsia" w:ascii="仿宋" w:hAnsi="仿宋" w:eastAsia="仿宋" w:cs="仿宋"/>
          <w:color w:val="auto"/>
          <w:sz w:val="32"/>
          <w:szCs w:val="32"/>
          <w:highlight w:val="none"/>
        </w:rPr>
        <w:t>所有</w:t>
      </w:r>
      <w:r>
        <w:rPr>
          <w:rFonts w:hint="eastAsia" w:ascii="仿宋" w:hAnsi="仿宋" w:eastAsia="仿宋" w:cs="仿宋"/>
          <w:color w:val="auto"/>
          <w:sz w:val="32"/>
          <w:szCs w:val="32"/>
          <w:highlight w:val="none"/>
          <w:lang w:eastAsia="zh-CN"/>
        </w:rPr>
        <w:t>教学点</w:t>
      </w:r>
      <w:r>
        <w:rPr>
          <w:rFonts w:hint="eastAsia" w:ascii="仿宋" w:hAnsi="仿宋" w:eastAsia="仿宋" w:cs="仿宋"/>
          <w:color w:val="auto"/>
          <w:sz w:val="32"/>
          <w:szCs w:val="32"/>
          <w:highlight w:val="none"/>
        </w:rPr>
        <w:t>。</w:t>
      </w:r>
    </w:p>
    <w:p>
      <w:pPr>
        <w:keepNext w:val="0"/>
        <w:keepLines w:val="0"/>
        <w:pageBreakBefore w:val="0"/>
        <w:widowControl/>
        <w:kinsoku/>
        <w:wordWrap/>
        <w:overflowPunct/>
        <w:topLinePunct w:val="0"/>
        <w:autoSpaceDE/>
        <w:autoSpaceDN/>
        <w:bidi w:val="0"/>
        <w:adjustRightInd w:val="0"/>
        <w:snapToGrid w:val="0"/>
        <w:spacing w:line="576" w:lineRule="exact"/>
        <w:ind w:left="0"/>
        <w:jc w:val="center"/>
        <w:textAlignment w:val="center"/>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rPr>
        <w:t>表3-1 2020年度</w:t>
      </w:r>
      <w:r>
        <w:rPr>
          <w:rFonts w:hint="eastAsia" w:ascii="仿宋" w:hAnsi="仿宋" w:eastAsia="仿宋" w:cs="仿宋"/>
          <w:color w:val="auto"/>
          <w:kern w:val="0"/>
          <w:sz w:val="28"/>
          <w:szCs w:val="28"/>
          <w:highlight w:val="none"/>
          <w:lang w:eastAsia="zh-CN"/>
        </w:rPr>
        <w:t>办学场地与设施</w:t>
      </w:r>
    </w:p>
    <w:tbl>
      <w:tblPr>
        <w:tblStyle w:val="5"/>
        <w:tblW w:w="8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1"/>
        <w:gridCol w:w="888"/>
        <w:gridCol w:w="1346"/>
        <w:gridCol w:w="828"/>
        <w:gridCol w:w="828"/>
        <w:gridCol w:w="828"/>
        <w:gridCol w:w="828"/>
        <w:gridCol w:w="828"/>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exact"/>
          <w:jc w:val="center"/>
        </w:trPr>
        <w:tc>
          <w:tcPr>
            <w:tcW w:w="1461" w:type="dxa"/>
            <w:shd w:val="clear" w:color="auto" w:fill="E7E6E6" w:themeFill="background2"/>
            <w:vAlign w:val="center"/>
          </w:tcPr>
          <w:p>
            <w:pPr>
              <w:pStyle w:val="3"/>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p>
        </w:tc>
        <w:tc>
          <w:tcPr>
            <w:tcW w:w="888" w:type="dxa"/>
            <w:shd w:val="clear" w:color="auto" w:fill="E7E6E6" w:themeFill="background2"/>
            <w:vAlign w:val="center"/>
          </w:tcPr>
          <w:p>
            <w:pPr>
              <w:pStyle w:val="3"/>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办学场地面积（亩）</w:t>
            </w:r>
          </w:p>
        </w:tc>
        <w:tc>
          <w:tcPr>
            <w:tcW w:w="1346" w:type="dxa"/>
            <w:shd w:val="clear" w:color="auto" w:fill="E7E6E6" w:themeFill="background2"/>
            <w:vAlign w:val="center"/>
          </w:tcPr>
          <w:p>
            <w:pPr>
              <w:pStyle w:val="3"/>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办学用房面积（平方米）</w:t>
            </w:r>
          </w:p>
        </w:tc>
        <w:tc>
          <w:tcPr>
            <w:tcW w:w="828" w:type="dxa"/>
            <w:shd w:val="clear" w:color="auto" w:fill="E7E6E6" w:themeFill="background2"/>
            <w:vAlign w:val="center"/>
          </w:tcPr>
          <w:p>
            <w:pPr>
              <w:pStyle w:val="3"/>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办学用房生均面积（平方米）</w:t>
            </w:r>
          </w:p>
        </w:tc>
        <w:tc>
          <w:tcPr>
            <w:tcW w:w="828" w:type="dxa"/>
            <w:shd w:val="clear" w:color="auto" w:fill="E7E6E6" w:themeFill="background2"/>
            <w:vAlign w:val="center"/>
          </w:tcPr>
          <w:p>
            <w:pPr>
              <w:pStyle w:val="3"/>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能容纳</w:t>
            </w:r>
            <w:r>
              <w:rPr>
                <w:rFonts w:hint="eastAsia" w:ascii="仿宋_GB2312" w:hAnsi="仿宋_GB2312" w:eastAsia="仿宋_GB2312" w:cs="仿宋_GB2312"/>
                <w:color w:val="auto"/>
                <w:sz w:val="28"/>
                <w:szCs w:val="28"/>
                <w:highlight w:val="none"/>
                <w:u w:val="single"/>
                <w:lang w:val="en-US" w:eastAsia="zh-CN"/>
              </w:rPr>
              <w:t>30</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人的教室间数</w:t>
            </w:r>
          </w:p>
        </w:tc>
        <w:tc>
          <w:tcPr>
            <w:tcW w:w="828" w:type="dxa"/>
            <w:shd w:val="clear" w:color="auto" w:fill="E7E6E6" w:themeFill="background2"/>
            <w:vAlign w:val="center"/>
          </w:tcPr>
          <w:p>
            <w:pPr>
              <w:pStyle w:val="3"/>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在籍生数与教室数比</w:t>
            </w:r>
          </w:p>
        </w:tc>
        <w:tc>
          <w:tcPr>
            <w:tcW w:w="828" w:type="dxa"/>
            <w:shd w:val="clear" w:color="auto" w:fill="E7E6E6" w:themeFill="background2"/>
            <w:vAlign w:val="center"/>
          </w:tcPr>
          <w:p>
            <w:pPr>
              <w:pStyle w:val="3"/>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计算机台数</w:t>
            </w:r>
          </w:p>
        </w:tc>
        <w:tc>
          <w:tcPr>
            <w:tcW w:w="828" w:type="dxa"/>
            <w:shd w:val="clear" w:color="auto" w:fill="E7E6E6" w:themeFill="background2"/>
            <w:vAlign w:val="center"/>
          </w:tcPr>
          <w:p>
            <w:pPr>
              <w:pStyle w:val="3"/>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在籍生数与计算机数比</w:t>
            </w:r>
          </w:p>
        </w:tc>
        <w:tc>
          <w:tcPr>
            <w:tcW w:w="829" w:type="dxa"/>
            <w:shd w:val="clear" w:color="auto" w:fill="E7E6E6" w:themeFill="background2"/>
            <w:vAlign w:val="center"/>
          </w:tcPr>
          <w:p>
            <w:pPr>
              <w:pStyle w:val="3"/>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校外实践基地个数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exact"/>
          <w:jc w:val="center"/>
        </w:trPr>
        <w:tc>
          <w:tcPr>
            <w:tcW w:w="1461" w:type="dxa"/>
            <w:vAlign w:val="center"/>
          </w:tcPr>
          <w:p>
            <w:pPr>
              <w:pStyle w:val="3"/>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校本部</w:t>
            </w:r>
          </w:p>
        </w:tc>
        <w:tc>
          <w:tcPr>
            <w:tcW w:w="888"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rPr>
            </w:pPr>
            <w:r>
              <w:rPr>
                <w:rFonts w:hint="eastAsia" w:ascii="仿宋" w:hAnsi="仿宋" w:eastAsia="仿宋" w:cs="仿宋"/>
                <w:color w:val="auto"/>
                <w:sz w:val="28"/>
                <w:szCs w:val="28"/>
                <w:highlight w:val="none"/>
              </w:rPr>
              <w:t>10.39</w:t>
            </w:r>
          </w:p>
        </w:tc>
        <w:tc>
          <w:tcPr>
            <w:tcW w:w="1346"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rPr>
            </w:pPr>
            <w:r>
              <w:rPr>
                <w:rFonts w:hint="eastAsia" w:ascii="仿宋" w:hAnsi="仿宋" w:eastAsia="仿宋" w:cs="仿宋"/>
                <w:color w:val="auto"/>
                <w:sz w:val="28"/>
                <w:szCs w:val="28"/>
                <w:highlight w:val="none"/>
              </w:rPr>
              <w:t>13903.23</w:t>
            </w:r>
          </w:p>
        </w:tc>
        <w:tc>
          <w:tcPr>
            <w:tcW w:w="828"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0.66</w:t>
            </w:r>
          </w:p>
        </w:tc>
        <w:tc>
          <w:tcPr>
            <w:tcW w:w="828"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32</w:t>
            </w:r>
          </w:p>
        </w:tc>
        <w:tc>
          <w:tcPr>
            <w:tcW w:w="828"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0.15</w:t>
            </w:r>
          </w:p>
        </w:tc>
        <w:tc>
          <w:tcPr>
            <w:tcW w:w="828"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400</w:t>
            </w:r>
          </w:p>
        </w:tc>
        <w:tc>
          <w:tcPr>
            <w:tcW w:w="828"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1.89</w:t>
            </w:r>
          </w:p>
        </w:tc>
        <w:tc>
          <w:tcPr>
            <w:tcW w:w="829"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1461" w:type="dxa"/>
            <w:vAlign w:val="center"/>
          </w:tcPr>
          <w:p>
            <w:pPr>
              <w:pStyle w:val="3"/>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全省排名</w:t>
            </w:r>
          </w:p>
        </w:tc>
        <w:tc>
          <w:tcPr>
            <w:tcW w:w="888"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1346"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828"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c>
          <w:tcPr>
            <w:tcW w:w="828"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828"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c>
          <w:tcPr>
            <w:tcW w:w="828"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828"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829" w:type="dxa"/>
            <w:vAlign w:val="center"/>
          </w:tcPr>
          <w:p>
            <w:pPr>
              <w:pStyle w:val="3"/>
              <w:keepNext w:val="0"/>
              <w:keepLines w:val="0"/>
              <w:pageBreakBefore w:val="0"/>
              <w:widowControl w:val="0"/>
              <w:kinsoku/>
              <w:wordWrap/>
              <w:overflowPunct/>
              <w:topLinePunct w:val="0"/>
              <w:autoSpaceDE/>
              <w:autoSpaceDN/>
              <w:bidi w:val="0"/>
              <w:adjustRightInd/>
              <w:snapToGrid/>
              <w:spacing w:after="0" w:line="24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r>
    </w:tbl>
    <w:p>
      <w:pPr>
        <w:pStyle w:val="3"/>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textAlignment w:val="auto"/>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lang w:val="en-US" w:eastAsia="zh-CN"/>
        </w:rPr>
        <w:t>二</w:t>
      </w:r>
      <w:r>
        <w:rPr>
          <w:rFonts w:hint="eastAsia" w:ascii="楷体" w:hAnsi="楷体" w:eastAsia="楷体" w:cs="楷体"/>
          <w:b w:val="0"/>
          <w:bCs w:val="0"/>
          <w:color w:val="auto"/>
          <w:sz w:val="32"/>
          <w:szCs w:val="32"/>
          <w:highlight w:val="none"/>
          <w:lang w:eastAsia="zh-CN"/>
        </w:rPr>
        <w:t>）</w:t>
      </w:r>
      <w:r>
        <w:rPr>
          <w:rFonts w:hint="eastAsia" w:ascii="楷体" w:hAnsi="楷体" w:eastAsia="楷体" w:cs="楷体"/>
          <w:b w:val="0"/>
          <w:bCs w:val="0"/>
          <w:color w:val="auto"/>
          <w:sz w:val="32"/>
          <w:szCs w:val="32"/>
          <w:highlight w:val="none"/>
        </w:rPr>
        <w:t>师资队伍</w:t>
      </w:r>
    </w:p>
    <w:p>
      <w:pPr>
        <w:pStyle w:val="3"/>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重视教师配置，所开专业</w:t>
      </w:r>
      <w:r>
        <w:rPr>
          <w:rFonts w:hint="eastAsia" w:ascii="仿宋" w:hAnsi="仿宋" w:eastAsia="仿宋"/>
          <w:color w:val="auto"/>
          <w:sz w:val="32"/>
          <w:szCs w:val="32"/>
          <w:highlight w:val="none"/>
          <w:lang w:eastAsia="zh-CN"/>
        </w:rPr>
        <w:t>均配</w:t>
      </w:r>
      <w:r>
        <w:rPr>
          <w:rFonts w:hint="eastAsia" w:ascii="仿宋" w:hAnsi="仿宋" w:eastAsia="仿宋"/>
          <w:color w:val="auto"/>
          <w:sz w:val="32"/>
          <w:szCs w:val="32"/>
          <w:highlight w:val="none"/>
        </w:rPr>
        <w:t>有专业负责人，辅导教师的配置率达到100%。积极选派人员参加省</w:t>
      </w:r>
      <w:r>
        <w:rPr>
          <w:rFonts w:hint="eastAsia" w:ascii="仿宋" w:hAnsi="仿宋" w:eastAsia="仿宋"/>
          <w:color w:val="auto"/>
          <w:sz w:val="32"/>
          <w:szCs w:val="32"/>
          <w:highlight w:val="none"/>
          <w:lang w:eastAsia="zh-CN"/>
        </w:rPr>
        <w:t>校</w:t>
      </w:r>
      <w:r>
        <w:rPr>
          <w:rFonts w:hint="eastAsia" w:ascii="仿宋" w:hAnsi="仿宋" w:eastAsia="仿宋"/>
          <w:color w:val="auto"/>
          <w:sz w:val="32"/>
          <w:szCs w:val="32"/>
          <w:highlight w:val="none"/>
        </w:rPr>
        <w:t>组织的各种业务培训（入学教育、经管专业、理工专业、高职扩招专业等），</w:t>
      </w:r>
      <w:r>
        <w:rPr>
          <w:rFonts w:hint="eastAsia" w:ascii="仿宋" w:hAnsi="仿宋" w:eastAsia="仿宋"/>
          <w:color w:val="auto"/>
          <w:sz w:val="32"/>
          <w:szCs w:val="32"/>
          <w:highlight w:val="none"/>
          <w:lang w:eastAsia="zh-CN"/>
        </w:rPr>
        <w:t>学校</w:t>
      </w:r>
      <w:r>
        <w:rPr>
          <w:rFonts w:hint="eastAsia" w:ascii="仿宋" w:hAnsi="仿宋" w:eastAsia="仿宋"/>
          <w:color w:val="auto"/>
          <w:sz w:val="32"/>
          <w:szCs w:val="32"/>
          <w:highlight w:val="none"/>
        </w:rPr>
        <w:t>刘明老师</w:t>
      </w:r>
      <w:r>
        <w:rPr>
          <w:rFonts w:hint="eastAsia" w:ascii="仿宋" w:hAnsi="仿宋" w:eastAsia="仿宋"/>
          <w:color w:val="auto"/>
          <w:sz w:val="32"/>
          <w:szCs w:val="32"/>
          <w:highlight w:val="none"/>
        </w:rPr>
        <w:t>获</w:t>
      </w:r>
      <w:r>
        <w:rPr>
          <w:rFonts w:hint="eastAsia" w:ascii="仿宋" w:hAnsi="仿宋" w:eastAsia="仿宋"/>
          <w:color w:val="auto"/>
          <w:sz w:val="32"/>
          <w:szCs w:val="32"/>
          <w:highlight w:val="none"/>
        </w:rPr>
        <w:t>九江市教育局评选的“师德师风”先进个人。</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表3-2 2020</w:t>
      </w:r>
      <w:r>
        <w:rPr>
          <w:rFonts w:hint="eastAsia" w:ascii="仿宋" w:hAnsi="仿宋" w:eastAsia="仿宋" w:cs="仿宋"/>
          <w:color w:val="auto"/>
          <w:sz w:val="28"/>
          <w:szCs w:val="28"/>
          <w:highlight w:val="none"/>
          <w:lang w:eastAsia="zh-CN"/>
        </w:rPr>
        <w:t>年度</w:t>
      </w:r>
      <w:r>
        <w:rPr>
          <w:rFonts w:hint="eastAsia" w:ascii="仿宋" w:hAnsi="仿宋" w:eastAsia="仿宋" w:cs="仿宋"/>
          <w:color w:val="auto"/>
          <w:sz w:val="28"/>
          <w:szCs w:val="28"/>
          <w:highlight w:val="none"/>
        </w:rPr>
        <w:t>教师情况</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校内教师数量与结构</w:t>
      </w:r>
    </w:p>
    <w:tbl>
      <w:tblPr>
        <w:tblStyle w:val="5"/>
        <w:tblW w:w="8390" w:type="dxa"/>
        <w:tblInd w:w="0" w:type="dxa"/>
        <w:tblLayout w:type="fixed"/>
        <w:tblCellMar>
          <w:top w:w="0" w:type="dxa"/>
          <w:left w:w="108" w:type="dxa"/>
          <w:bottom w:w="0" w:type="dxa"/>
          <w:right w:w="108" w:type="dxa"/>
        </w:tblCellMar>
      </w:tblPr>
      <w:tblGrid>
        <w:gridCol w:w="1056"/>
        <w:gridCol w:w="680"/>
        <w:gridCol w:w="850"/>
        <w:gridCol w:w="851"/>
        <w:gridCol w:w="850"/>
        <w:gridCol w:w="851"/>
        <w:gridCol w:w="666"/>
        <w:gridCol w:w="739"/>
        <w:gridCol w:w="637"/>
        <w:gridCol w:w="646"/>
        <w:gridCol w:w="564"/>
      </w:tblGrid>
      <w:tr>
        <w:tblPrEx>
          <w:tblCellMar>
            <w:top w:w="0" w:type="dxa"/>
            <w:left w:w="108" w:type="dxa"/>
            <w:bottom w:w="0" w:type="dxa"/>
            <w:right w:w="108" w:type="dxa"/>
          </w:tblCellMar>
        </w:tblPrEx>
        <w:trPr>
          <w:trHeight w:val="655" w:hRule="atLeast"/>
        </w:trPr>
        <w:tc>
          <w:tcPr>
            <w:tcW w:w="1056"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680"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专职教师人数</w:t>
            </w:r>
          </w:p>
        </w:tc>
        <w:tc>
          <w:tcPr>
            <w:tcW w:w="3402" w:type="dxa"/>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职称情况</w:t>
            </w:r>
          </w:p>
        </w:tc>
        <w:tc>
          <w:tcPr>
            <w:tcW w:w="3252" w:type="dxa"/>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056"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p>
        </w:tc>
        <w:tc>
          <w:tcPr>
            <w:tcW w:w="680"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硕士生人数</w:t>
            </w:r>
          </w:p>
        </w:tc>
        <w:tc>
          <w:tcPr>
            <w:tcW w:w="637"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本科人数</w:t>
            </w:r>
          </w:p>
        </w:tc>
        <w:tc>
          <w:tcPr>
            <w:tcW w:w="64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大专人数</w:t>
            </w:r>
          </w:p>
        </w:tc>
        <w:tc>
          <w:tcPr>
            <w:tcW w:w="56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大专以下人数</w:t>
            </w:r>
          </w:p>
        </w:tc>
      </w:tr>
      <w:tr>
        <w:tblPrEx>
          <w:tblCellMar>
            <w:top w:w="0" w:type="dxa"/>
            <w:left w:w="108" w:type="dxa"/>
            <w:bottom w:w="0" w:type="dxa"/>
            <w:right w:w="108" w:type="dxa"/>
          </w:tblCellMar>
        </w:tblPrEx>
        <w:trPr>
          <w:trHeight w:val="592" w:hRule="atLeast"/>
        </w:trPr>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校本部</w:t>
            </w:r>
          </w:p>
        </w:tc>
        <w:tc>
          <w:tcPr>
            <w:tcW w:w="6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44</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9</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22</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3</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3</w:t>
            </w:r>
          </w:p>
        </w:tc>
        <w:tc>
          <w:tcPr>
            <w:tcW w:w="63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3</w:t>
            </w:r>
            <w:r>
              <w:rPr>
                <w:rFonts w:hint="eastAsia" w:ascii="仿宋" w:hAnsi="仿宋" w:eastAsia="仿宋" w:cs="仿宋"/>
                <w:color w:val="auto"/>
                <w:sz w:val="28"/>
                <w:szCs w:val="28"/>
                <w:highlight w:val="none"/>
                <w:lang w:val="en-US" w:eastAsia="zh-CN"/>
              </w:rPr>
              <w:t>9</w:t>
            </w:r>
          </w:p>
        </w:tc>
        <w:tc>
          <w:tcPr>
            <w:tcW w:w="64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2</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r>
      <w:tr>
        <w:tblPrEx>
          <w:tblCellMar>
            <w:top w:w="0" w:type="dxa"/>
            <w:left w:w="108" w:type="dxa"/>
            <w:bottom w:w="0" w:type="dxa"/>
            <w:right w:w="108" w:type="dxa"/>
          </w:tblCellMar>
        </w:tblPrEx>
        <w:trPr>
          <w:trHeight w:val="560" w:hRule="atLeast"/>
        </w:trPr>
        <w:tc>
          <w:tcPr>
            <w:tcW w:w="10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所辖教学点汇总</w:t>
            </w:r>
          </w:p>
        </w:tc>
        <w:tc>
          <w:tcPr>
            <w:tcW w:w="6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247</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0</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155</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78</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14</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7</w:t>
            </w:r>
          </w:p>
        </w:tc>
        <w:tc>
          <w:tcPr>
            <w:tcW w:w="63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213</w:t>
            </w:r>
          </w:p>
        </w:tc>
        <w:tc>
          <w:tcPr>
            <w:tcW w:w="64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27</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0</w:t>
            </w:r>
          </w:p>
        </w:tc>
      </w:tr>
    </w:tbl>
    <w:p>
      <w:pPr>
        <w:widowControl/>
        <w:adjustRightInd w:val="0"/>
        <w:snapToGrid w:val="0"/>
        <w:spacing w:line="5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校外聘任教师数量与结构</w:t>
      </w:r>
    </w:p>
    <w:tbl>
      <w:tblPr>
        <w:tblStyle w:val="5"/>
        <w:tblW w:w="8390" w:type="dxa"/>
        <w:tblInd w:w="0" w:type="dxa"/>
        <w:tblLayout w:type="fixed"/>
        <w:tblCellMar>
          <w:top w:w="0" w:type="dxa"/>
          <w:left w:w="108" w:type="dxa"/>
          <w:bottom w:w="0" w:type="dxa"/>
          <w:right w:w="108" w:type="dxa"/>
        </w:tblCellMar>
      </w:tblPr>
      <w:tblGrid>
        <w:gridCol w:w="1097"/>
        <w:gridCol w:w="639"/>
        <w:gridCol w:w="850"/>
        <w:gridCol w:w="851"/>
        <w:gridCol w:w="850"/>
        <w:gridCol w:w="851"/>
        <w:gridCol w:w="666"/>
        <w:gridCol w:w="739"/>
        <w:gridCol w:w="637"/>
        <w:gridCol w:w="646"/>
        <w:gridCol w:w="564"/>
      </w:tblGrid>
      <w:tr>
        <w:tblPrEx>
          <w:tblCellMar>
            <w:top w:w="0" w:type="dxa"/>
            <w:left w:w="108" w:type="dxa"/>
            <w:bottom w:w="0" w:type="dxa"/>
            <w:right w:w="108" w:type="dxa"/>
          </w:tblCellMar>
        </w:tblPrEx>
        <w:trPr>
          <w:trHeight w:val="655" w:hRule="atLeast"/>
        </w:trPr>
        <w:tc>
          <w:tcPr>
            <w:tcW w:w="1097"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639"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专职教师人数</w:t>
            </w:r>
          </w:p>
        </w:tc>
        <w:tc>
          <w:tcPr>
            <w:tcW w:w="3402" w:type="dxa"/>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职称情况</w:t>
            </w:r>
          </w:p>
        </w:tc>
        <w:tc>
          <w:tcPr>
            <w:tcW w:w="3252" w:type="dxa"/>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097"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p>
        </w:tc>
        <w:tc>
          <w:tcPr>
            <w:tcW w:w="639"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硕士生人数</w:t>
            </w:r>
          </w:p>
        </w:tc>
        <w:tc>
          <w:tcPr>
            <w:tcW w:w="637"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本科人数</w:t>
            </w:r>
          </w:p>
        </w:tc>
        <w:tc>
          <w:tcPr>
            <w:tcW w:w="64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大专人数</w:t>
            </w:r>
          </w:p>
        </w:tc>
        <w:tc>
          <w:tcPr>
            <w:tcW w:w="56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大专以下人数</w:t>
            </w:r>
          </w:p>
        </w:tc>
      </w:tr>
      <w:tr>
        <w:tblPrEx>
          <w:tblCellMar>
            <w:top w:w="0" w:type="dxa"/>
            <w:left w:w="108" w:type="dxa"/>
            <w:bottom w:w="0" w:type="dxa"/>
            <w:right w:w="108" w:type="dxa"/>
          </w:tblCellMar>
        </w:tblPrEx>
        <w:trPr>
          <w:trHeight w:val="618" w:hRule="atLeast"/>
        </w:trPr>
        <w:tc>
          <w:tcPr>
            <w:tcW w:w="10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校本部</w:t>
            </w:r>
          </w:p>
        </w:tc>
        <w:tc>
          <w:tcPr>
            <w:tcW w:w="6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84</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33</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49</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63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75</w:t>
            </w:r>
          </w:p>
        </w:tc>
        <w:tc>
          <w:tcPr>
            <w:tcW w:w="64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r>
      <w:tr>
        <w:tblPrEx>
          <w:tblCellMar>
            <w:top w:w="0" w:type="dxa"/>
            <w:left w:w="108" w:type="dxa"/>
            <w:bottom w:w="0" w:type="dxa"/>
            <w:right w:w="108" w:type="dxa"/>
          </w:tblCellMar>
        </w:tblPrEx>
        <w:trPr>
          <w:trHeight w:val="560" w:hRule="atLeast"/>
        </w:trPr>
        <w:tc>
          <w:tcPr>
            <w:tcW w:w="109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所辖教学点汇总</w:t>
            </w:r>
          </w:p>
        </w:tc>
        <w:tc>
          <w:tcPr>
            <w:tcW w:w="6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157</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0</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103</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47</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7</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20</w:t>
            </w:r>
          </w:p>
        </w:tc>
        <w:tc>
          <w:tcPr>
            <w:tcW w:w="63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123</w:t>
            </w:r>
          </w:p>
        </w:tc>
        <w:tc>
          <w:tcPr>
            <w:tcW w:w="64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11</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0</w:t>
            </w:r>
          </w:p>
        </w:tc>
      </w:tr>
    </w:tbl>
    <w:p>
      <w:pPr>
        <w:pStyle w:val="3"/>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ascii="仿宋" w:hAnsi="仿宋" w:eastAsia="仿宋" w:cs="宋体"/>
          <w:color w:val="auto"/>
          <w:kern w:val="0"/>
          <w:sz w:val="32"/>
          <w:szCs w:val="32"/>
          <w:highlight w:val="none"/>
        </w:rPr>
      </w:pPr>
      <w:r>
        <w:rPr>
          <w:rFonts w:hint="eastAsia" w:ascii="黑体" w:hAnsi="黑体" w:eastAsia="黑体" w:cs="黑体"/>
          <w:color w:val="auto"/>
          <w:sz w:val="32"/>
          <w:szCs w:val="32"/>
          <w:highlight w:val="none"/>
        </w:rPr>
        <w:t>四、科学研究和特色创新</w:t>
      </w:r>
    </w:p>
    <w:p>
      <w:pPr>
        <w:pStyle w:val="3"/>
        <w:keepNext w:val="0"/>
        <w:keepLines w:val="0"/>
        <w:pageBreakBefore w:val="0"/>
        <w:widowControl w:val="0"/>
        <w:numPr>
          <w:ilvl w:val="0"/>
          <w:numId w:val="2"/>
        </w:numPr>
        <w:kinsoku/>
        <w:wordWrap/>
        <w:overflowPunct/>
        <w:topLinePunct w:val="0"/>
        <w:autoSpaceDE/>
        <w:autoSpaceDN/>
        <w:bidi w:val="0"/>
        <w:adjustRightInd/>
        <w:snapToGrid/>
        <w:spacing w:after="0" w:line="576" w:lineRule="exact"/>
        <w:textAlignment w:val="auto"/>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科学研究</w:t>
      </w:r>
    </w:p>
    <w:p>
      <w:pPr>
        <w:pStyle w:val="3"/>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hint="eastAsia" w:ascii="仿宋" w:hAnsi="仿宋" w:eastAsia="仿宋"/>
          <w:color w:val="auto"/>
          <w:sz w:val="32"/>
          <w:szCs w:val="32"/>
          <w:highlight w:val="none"/>
        </w:rPr>
      </w:pPr>
      <w:r>
        <w:rPr>
          <w:rFonts w:hint="eastAsia" w:ascii="仿宋" w:hAnsi="仿宋" w:eastAsia="仿宋"/>
          <w:color w:val="auto"/>
          <w:sz w:val="32"/>
          <w:szCs w:val="32"/>
          <w:highlight w:val="none"/>
        </w:rPr>
        <w:t>明确教学处作为学校科研管理的职能部门，由张家珍老师具体负责科研工作，出台《九江电大教师教学教研考核管理办法》，明确激励与评价制度。</w:t>
      </w:r>
      <w:r>
        <w:rPr>
          <w:rFonts w:hint="eastAsia" w:ascii="仿宋" w:hAnsi="仿宋" w:eastAsia="仿宋"/>
          <w:color w:val="auto"/>
          <w:sz w:val="32"/>
          <w:szCs w:val="32"/>
          <w:highlight w:val="none"/>
          <w:lang w:val="en-US" w:eastAsia="zh-CN"/>
        </w:rPr>
        <w:t>2020年</w:t>
      </w:r>
      <w:r>
        <w:rPr>
          <w:rFonts w:hint="eastAsia" w:ascii="仿宋" w:hAnsi="仿宋" w:eastAsia="仿宋"/>
          <w:color w:val="auto"/>
          <w:sz w:val="32"/>
          <w:szCs w:val="32"/>
          <w:highlight w:val="none"/>
        </w:rPr>
        <w:t>有多名教师参与申报科研课题，并取得一定的学术研究成果。刘明老师《关于地方政府推动加强成人教育培训和社会服务研究》</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张峻老师《新常态下农村远程高等职业教育问题与对策研究》</w:t>
      </w:r>
      <w:r>
        <w:rPr>
          <w:rFonts w:hint="eastAsia" w:ascii="仿宋" w:hAnsi="仿宋" w:eastAsia="仿宋"/>
          <w:color w:val="auto"/>
          <w:sz w:val="32"/>
          <w:szCs w:val="32"/>
          <w:highlight w:val="none"/>
          <w:lang w:eastAsia="zh-CN"/>
        </w:rPr>
        <w:t>、焦可君老师《法学成人教育的改革方向探析》等多篇论文</w:t>
      </w:r>
      <w:r>
        <w:rPr>
          <w:rFonts w:hint="eastAsia" w:ascii="仿宋" w:hAnsi="仿宋" w:eastAsia="仿宋"/>
          <w:color w:val="auto"/>
          <w:sz w:val="32"/>
          <w:szCs w:val="32"/>
          <w:highlight w:val="none"/>
        </w:rPr>
        <w:t>发表</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教师刘洁主持的江西高等学校教学改革研究课题《传统远程教育改革——翻转课堂与网络教育的融合》获教育厅评审通过。</w:t>
      </w:r>
    </w:p>
    <w:p>
      <w:pPr>
        <w:pStyle w:val="3"/>
        <w:keepNext w:val="0"/>
        <w:keepLines w:val="0"/>
        <w:pageBreakBefore w:val="0"/>
        <w:widowControl w:val="0"/>
        <w:numPr>
          <w:ilvl w:val="0"/>
          <w:numId w:val="2"/>
        </w:numPr>
        <w:kinsoku/>
        <w:wordWrap/>
        <w:overflowPunct/>
        <w:topLinePunct w:val="0"/>
        <w:autoSpaceDE/>
        <w:autoSpaceDN/>
        <w:bidi w:val="0"/>
        <w:adjustRightInd/>
        <w:snapToGrid/>
        <w:spacing w:after="0" w:line="576" w:lineRule="exact"/>
        <w:textAlignment w:val="auto"/>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特色创新</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textAlignment w:val="auto"/>
        <w:rPr>
          <w:rFonts w:hint="eastAsia" w:ascii="仿宋" w:hAnsi="仿宋" w:eastAsia="仿宋"/>
          <w:color w:val="auto"/>
          <w:sz w:val="32"/>
          <w:szCs w:val="32"/>
          <w:highlight w:val="none"/>
          <w:lang w:eastAsia="zh-CN"/>
        </w:rPr>
      </w:pPr>
      <w:r>
        <w:rPr>
          <w:rFonts w:hint="eastAsia" w:ascii="仿宋" w:hAnsi="仿宋" w:eastAsia="仿宋" w:cs="仿宋"/>
          <w:color w:val="auto"/>
          <w:sz w:val="32"/>
          <w:szCs w:val="32"/>
          <w:highlight w:val="none"/>
          <w:lang w:val="en-US" w:eastAsia="zh-CN"/>
        </w:rPr>
        <w:t>1.狠抓“双创”联盟建设。</w:t>
      </w:r>
      <w:r>
        <w:rPr>
          <w:rFonts w:hint="eastAsia" w:ascii="仿宋" w:hAnsi="仿宋" w:eastAsia="仿宋"/>
          <w:color w:val="auto"/>
          <w:sz w:val="32"/>
          <w:szCs w:val="32"/>
          <w:highlight w:val="none"/>
        </w:rPr>
        <w:t>2020年持续推进“一村一”工程创新创业协会的建设工作</w:t>
      </w:r>
      <w:r>
        <w:rPr>
          <w:rFonts w:hint="eastAsia" w:ascii="仿宋" w:hAnsi="仿宋" w:eastAsia="仿宋"/>
          <w:color w:val="auto"/>
          <w:sz w:val="32"/>
          <w:szCs w:val="32"/>
          <w:highlight w:val="none"/>
          <w:lang w:eastAsia="zh-CN"/>
        </w:rPr>
        <w:t>：参与地方政府进行脱贫攻坚、新冠疫情防控、抗洪抢险、振兴乡村建设等工作，参加“第六届中国国际互联网大学生创新创业大赛”省校初赛并获优秀奖和组织奖，组织参加国家开放大学“教育部‘一村一名大学生计划’”学生优秀创新创业案例评选活动，根据高职扩招和开放教育学生实践教育需要新增4个实践教育基地。</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textAlignment w:val="auto"/>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2</w:t>
      </w:r>
      <w:r>
        <w:rPr>
          <w:rFonts w:hint="eastAsia" w:ascii="仿宋" w:hAnsi="仿宋" w:eastAsia="仿宋"/>
          <w:color w:val="auto"/>
          <w:sz w:val="32"/>
          <w:szCs w:val="32"/>
          <w:highlight w:val="none"/>
          <w:lang w:val="en-US" w:eastAsia="zh-CN"/>
        </w:rPr>
        <w:t>.</w:t>
      </w:r>
      <w:r>
        <w:rPr>
          <w:rFonts w:hint="eastAsia" w:ascii="仿宋" w:hAnsi="仿宋" w:eastAsia="仿宋"/>
          <w:color w:val="auto"/>
          <w:sz w:val="32"/>
          <w:szCs w:val="32"/>
          <w:highlight w:val="none"/>
          <w:lang w:val="en-US" w:eastAsia="zh-CN"/>
        </w:rPr>
        <w:t>主办《高职教育工作简报》。编制“高职教育工作简报”，将高职教育工作形成情况报告，介绍高职扩招的相关动态，用</w:t>
      </w:r>
      <w:r>
        <w:rPr>
          <w:rFonts w:hint="eastAsia" w:ascii="仿宋" w:hAnsi="仿宋" w:eastAsia="仿宋"/>
          <w:color w:val="auto"/>
          <w:sz w:val="32"/>
          <w:szCs w:val="32"/>
          <w:highlight w:val="none"/>
          <w:lang w:val="en-US" w:eastAsia="zh-CN"/>
        </w:rPr>
        <w:t>于</w:t>
      </w:r>
      <w:r>
        <w:rPr>
          <w:rFonts w:hint="eastAsia" w:ascii="仿宋" w:hAnsi="仿宋" w:eastAsia="仿宋"/>
          <w:color w:val="auto"/>
          <w:sz w:val="32"/>
          <w:szCs w:val="32"/>
          <w:highlight w:val="none"/>
          <w:lang w:val="en-US" w:eastAsia="zh-CN"/>
        </w:rPr>
        <w:t xml:space="preserve">信息交流、经验介绍，为高职扩招工作做进一步宣传。目前已经编制7期简报，得到省校、市教育局的充分肯定与好评。   </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0" w:line="576" w:lineRule="exact"/>
        <w:ind w:firstLine="640" w:firstLineChars="200"/>
        <w:textAlignment w:val="auto"/>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3.社区教育初见成效。2020年成功举办江西省全民终身学习周总开幕式，江西省委教育工作委员会副书记、省教育厅厅长郭杰忠，省校党委书记易小明，副市长李军等领导出席总开幕式。</w:t>
      </w:r>
    </w:p>
    <w:p>
      <w:pPr>
        <w:pStyle w:val="3"/>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五、社会服务</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（一）服务地方经济社会发展与学习型社会建设情况</w:t>
      </w:r>
    </w:p>
    <w:p>
      <w:pPr>
        <w:keepNext w:val="0"/>
        <w:keepLines w:val="0"/>
        <w:pageBreakBefore w:val="0"/>
        <w:kinsoku/>
        <w:wordWrap/>
        <w:overflowPunct/>
        <w:topLinePunct w:val="0"/>
        <w:autoSpaceDE/>
        <w:autoSpaceDN/>
        <w:bidi w:val="0"/>
        <w:spacing w:line="576" w:lineRule="exact"/>
        <w:ind w:firstLine="640" w:firstLineChars="200"/>
        <w:rPr>
          <w:rFonts w:ascii="仿宋" w:hAnsi="仿宋" w:eastAsia="仿宋" w:cs="仿宋"/>
          <w:bCs/>
          <w:color w:val="auto"/>
          <w:sz w:val="32"/>
          <w:szCs w:val="32"/>
          <w:highlight w:val="none"/>
        </w:rPr>
      </w:pPr>
      <w:r>
        <w:rPr>
          <w:rFonts w:hint="eastAsia" w:ascii="仿宋" w:hAnsi="仿宋" w:eastAsia="仿宋" w:cs="仿宋_GB2312"/>
          <w:color w:val="auto"/>
          <w:sz w:val="32"/>
          <w:szCs w:val="32"/>
          <w:highlight w:val="none"/>
        </w:rPr>
        <w:t>201</w:t>
      </w:r>
      <w:r>
        <w:rPr>
          <w:rFonts w:ascii="仿宋" w:hAnsi="仿宋" w:eastAsia="仿宋" w:cs="仿宋_GB2312"/>
          <w:color w:val="auto"/>
          <w:sz w:val="32"/>
          <w:szCs w:val="32"/>
          <w:highlight w:val="none"/>
        </w:rPr>
        <w:t>8</w:t>
      </w:r>
      <w:r>
        <w:rPr>
          <w:rFonts w:hint="eastAsia" w:ascii="仿宋" w:hAnsi="仿宋" w:eastAsia="仿宋" w:cs="仿宋_GB2312"/>
          <w:color w:val="auto"/>
          <w:sz w:val="32"/>
          <w:szCs w:val="32"/>
          <w:highlight w:val="none"/>
        </w:rPr>
        <w:t>年九江市社区教育指导中心在</w:t>
      </w:r>
      <w:r>
        <w:rPr>
          <w:rFonts w:hint="eastAsia" w:ascii="仿宋" w:hAnsi="仿宋" w:eastAsia="仿宋" w:cs="仿宋_GB2312"/>
          <w:color w:val="auto"/>
          <w:sz w:val="32"/>
          <w:szCs w:val="32"/>
          <w:highlight w:val="none"/>
          <w:lang w:eastAsia="zh-CN"/>
        </w:rPr>
        <w:t>学校</w:t>
      </w:r>
      <w:r>
        <w:rPr>
          <w:rFonts w:hint="eastAsia" w:ascii="仿宋" w:hAnsi="仿宋" w:eastAsia="仿宋" w:cs="仿宋_GB2312"/>
          <w:color w:val="auto"/>
          <w:sz w:val="32"/>
          <w:szCs w:val="32"/>
          <w:highlight w:val="none"/>
        </w:rPr>
        <w:t>挂牌成立。</w:t>
      </w:r>
      <w:r>
        <w:rPr>
          <w:rFonts w:hint="eastAsia" w:ascii="仿宋" w:hAnsi="仿宋" w:eastAsia="仿宋" w:cs="仿宋_GB2312"/>
          <w:color w:val="auto"/>
          <w:sz w:val="32"/>
          <w:szCs w:val="32"/>
          <w:highlight w:val="none"/>
          <w:lang w:eastAsia="zh-CN"/>
        </w:rPr>
        <w:t>学校</w:t>
      </w:r>
      <w:r>
        <w:rPr>
          <w:rFonts w:hint="eastAsia" w:ascii="仿宋" w:hAnsi="仿宋" w:eastAsia="仿宋" w:cs="仿宋_GB2312"/>
          <w:color w:val="auto"/>
          <w:sz w:val="32"/>
          <w:szCs w:val="32"/>
          <w:highlight w:val="none"/>
        </w:rPr>
        <w:t>非常重视这项工作，确定由培训处具体负责该项工作。2020年10月20日组织全市教育系统</w:t>
      </w:r>
      <w:r>
        <w:rPr>
          <w:rFonts w:hint="eastAsia" w:ascii="仿宋" w:hAnsi="仿宋" w:eastAsia="仿宋" w:cs="仿宋_GB2312"/>
          <w:color w:val="auto"/>
          <w:sz w:val="32"/>
          <w:szCs w:val="32"/>
          <w:highlight w:val="none"/>
          <w:lang w:val="en-US" w:eastAsia="zh-CN"/>
        </w:rPr>
        <w:t>召开2020年</w:t>
      </w:r>
      <w:r>
        <w:rPr>
          <w:rFonts w:hint="eastAsia" w:ascii="仿宋" w:hAnsi="仿宋" w:eastAsia="仿宋" w:cs="仿宋_GB2312"/>
          <w:color w:val="auto"/>
          <w:sz w:val="32"/>
          <w:szCs w:val="32"/>
          <w:highlight w:val="none"/>
        </w:rPr>
        <w:t>社区教育活动周开幕式活动</w:t>
      </w:r>
      <w:r>
        <w:rPr>
          <w:rFonts w:hint="eastAsia" w:ascii="仿宋" w:hAnsi="仿宋" w:eastAsia="仿宋" w:cs="仿宋_GB2312"/>
          <w:color w:val="auto"/>
          <w:sz w:val="32"/>
          <w:szCs w:val="32"/>
          <w:highlight w:val="none"/>
        </w:rPr>
        <w:t>推进会</w:t>
      </w:r>
      <w:r>
        <w:rPr>
          <w:rFonts w:hint="eastAsia" w:ascii="仿宋" w:hAnsi="仿宋" w:eastAsia="仿宋" w:cs="仿宋_GB2312"/>
          <w:color w:val="auto"/>
          <w:sz w:val="32"/>
          <w:szCs w:val="32"/>
          <w:highlight w:val="none"/>
        </w:rPr>
        <w:t>，并在会上布置了下阶段的工作要点，督促各</w:t>
      </w:r>
      <w:r>
        <w:rPr>
          <w:rFonts w:hint="eastAsia" w:ascii="仿宋" w:hAnsi="仿宋" w:eastAsia="仿宋" w:cs="仿宋_GB2312"/>
          <w:color w:val="auto"/>
          <w:sz w:val="32"/>
          <w:szCs w:val="32"/>
          <w:highlight w:val="none"/>
        </w:rPr>
        <w:t>县市</w:t>
      </w:r>
      <w:r>
        <w:rPr>
          <w:rFonts w:hint="eastAsia" w:ascii="仿宋" w:hAnsi="仿宋" w:eastAsia="仿宋" w:cs="仿宋_GB2312"/>
          <w:color w:val="auto"/>
          <w:sz w:val="32"/>
          <w:szCs w:val="32"/>
          <w:highlight w:val="none"/>
        </w:rPr>
        <w:t>成立“社区教育指导中心”，以便</w:t>
      </w:r>
      <w:r>
        <w:rPr>
          <w:rFonts w:hint="eastAsia" w:ascii="仿宋" w:hAnsi="仿宋" w:eastAsia="仿宋" w:cs="仿宋_GB2312"/>
          <w:color w:val="auto"/>
          <w:sz w:val="32"/>
          <w:szCs w:val="32"/>
          <w:highlight w:val="none"/>
          <w:lang w:val="en-US" w:eastAsia="zh-CN"/>
        </w:rPr>
        <w:t>日</w:t>
      </w:r>
      <w:r>
        <w:rPr>
          <w:rFonts w:hint="eastAsia" w:ascii="仿宋" w:hAnsi="仿宋" w:eastAsia="仿宋" w:cs="仿宋_GB2312"/>
          <w:color w:val="auto"/>
          <w:sz w:val="32"/>
          <w:szCs w:val="32"/>
          <w:highlight w:val="none"/>
        </w:rPr>
        <w:t>后工作的开展。11月1日</w:t>
      </w:r>
      <w:r>
        <w:rPr>
          <w:rFonts w:hint="eastAsia" w:ascii="仿宋" w:hAnsi="仿宋" w:eastAsia="仿宋" w:cs="仿宋_GB2312"/>
          <w:color w:val="auto"/>
          <w:sz w:val="32"/>
          <w:szCs w:val="32"/>
          <w:highlight w:val="none"/>
          <w:lang w:val="en-US" w:eastAsia="zh-CN"/>
        </w:rPr>
        <w:t>在</w:t>
      </w:r>
      <w:r>
        <w:rPr>
          <w:rFonts w:hint="eastAsia" w:ascii="仿宋" w:hAnsi="仿宋" w:eastAsia="仿宋" w:cs="仿宋_GB2312"/>
          <w:color w:val="auto"/>
          <w:sz w:val="32"/>
          <w:szCs w:val="32"/>
          <w:highlight w:val="none"/>
        </w:rPr>
        <w:t>省教育厅参加了全国社区教育活动周开幕仪式江西区视频会议，学习</w:t>
      </w:r>
      <w:r>
        <w:rPr>
          <w:rFonts w:hint="eastAsia" w:ascii="仿宋" w:hAnsi="仿宋" w:eastAsia="仿宋" w:cs="仿宋_GB2312"/>
          <w:color w:val="auto"/>
          <w:sz w:val="32"/>
          <w:szCs w:val="32"/>
          <w:highlight w:val="none"/>
          <w:lang w:eastAsia="zh-CN"/>
        </w:rPr>
        <w:t>其他</w:t>
      </w:r>
      <w:r>
        <w:rPr>
          <w:rFonts w:hint="eastAsia" w:ascii="仿宋" w:hAnsi="仿宋" w:eastAsia="仿宋" w:cs="仿宋_GB2312"/>
          <w:color w:val="auto"/>
          <w:sz w:val="32"/>
          <w:szCs w:val="32"/>
          <w:highlight w:val="none"/>
        </w:rPr>
        <w:t>地区</w:t>
      </w:r>
      <w:r>
        <w:rPr>
          <w:rFonts w:hint="eastAsia" w:ascii="仿宋" w:hAnsi="仿宋" w:eastAsia="仿宋" w:cs="仿宋_GB2312"/>
          <w:color w:val="auto"/>
          <w:sz w:val="32"/>
          <w:szCs w:val="32"/>
          <w:highlight w:val="none"/>
        </w:rPr>
        <w:t>好</w:t>
      </w:r>
      <w:r>
        <w:rPr>
          <w:rFonts w:hint="eastAsia" w:ascii="仿宋" w:hAnsi="仿宋" w:eastAsia="仿宋" w:cs="仿宋_GB2312"/>
          <w:color w:val="auto"/>
          <w:sz w:val="32"/>
          <w:szCs w:val="32"/>
          <w:highlight w:val="none"/>
        </w:rPr>
        <w:t>的做法。2020年11月28日，在九江成功举办了江西省全民终身学习周总开幕式活动。同时整合了九江市社区教育和九江老年大学教育资源，组织和指导开展了社区和老年的书画、摄影、老年养生等活动，</w:t>
      </w:r>
      <w:r>
        <w:rPr>
          <w:rFonts w:hint="eastAsia" w:ascii="仿宋" w:hAnsi="仿宋" w:eastAsia="仿宋" w:cs="仿宋_GB2312"/>
          <w:color w:val="auto"/>
          <w:sz w:val="32"/>
          <w:szCs w:val="32"/>
          <w:highlight w:val="none"/>
        </w:rPr>
        <w:t>获得</w:t>
      </w:r>
      <w:r>
        <w:rPr>
          <w:rFonts w:hint="eastAsia" w:ascii="仿宋" w:hAnsi="仿宋" w:eastAsia="仿宋" w:cs="仿宋_GB2312"/>
          <w:color w:val="auto"/>
          <w:sz w:val="32"/>
          <w:szCs w:val="32"/>
          <w:highlight w:val="none"/>
        </w:rPr>
        <w:t>社会一致好评。</w:t>
      </w:r>
    </w:p>
    <w:p>
      <w:pPr>
        <w:keepNext w:val="0"/>
        <w:keepLines w:val="0"/>
        <w:pageBreakBefore w:val="0"/>
        <w:kinsoku/>
        <w:wordWrap/>
        <w:overflowPunct/>
        <w:topLinePunct w:val="0"/>
        <w:autoSpaceDE/>
        <w:autoSpaceDN/>
        <w:bidi w:val="0"/>
        <w:spacing w:line="576" w:lineRule="exact"/>
        <w:ind w:firstLine="640" w:firstLineChars="200"/>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（二）对口支援、教育帮扶情况</w:t>
      </w:r>
    </w:p>
    <w:p>
      <w:pPr>
        <w:keepNext w:val="0"/>
        <w:keepLines w:val="0"/>
        <w:pageBreakBefore w:val="0"/>
        <w:kinsoku/>
        <w:wordWrap/>
        <w:overflowPunct/>
        <w:topLinePunct w:val="0"/>
        <w:autoSpaceDE/>
        <w:autoSpaceDN/>
        <w:bidi w:val="0"/>
        <w:spacing w:line="576" w:lineRule="exact"/>
        <w:ind w:firstLine="640" w:firstLineChars="200"/>
        <w:rPr>
          <w:rFonts w:ascii="楷体" w:hAnsi="楷体" w:eastAsia="楷体" w:cs="楷体"/>
          <w:b/>
          <w:bCs/>
          <w:color w:val="auto"/>
          <w:sz w:val="32"/>
          <w:szCs w:val="32"/>
          <w:highlight w:val="none"/>
        </w:rPr>
      </w:pPr>
      <w:r>
        <w:rPr>
          <w:rFonts w:hint="eastAsia" w:ascii="仿宋" w:hAnsi="仿宋" w:eastAsia="仿宋" w:cs="宋体"/>
          <w:color w:val="auto"/>
          <w:kern w:val="0"/>
          <w:sz w:val="32"/>
          <w:szCs w:val="32"/>
          <w:highlight w:val="none"/>
        </w:rPr>
        <w:t>学校领导身先士卒，带领全体教职工积极参加各项志愿活动。在今年年初新冠疫情严重之时，</w:t>
      </w:r>
      <w:r>
        <w:rPr>
          <w:rFonts w:hint="eastAsia" w:ascii="仿宋" w:hAnsi="仿宋" w:eastAsia="仿宋" w:cs="宋体"/>
          <w:color w:val="auto"/>
          <w:kern w:val="0"/>
          <w:sz w:val="32"/>
          <w:szCs w:val="32"/>
          <w:highlight w:val="none"/>
          <w:lang w:eastAsia="zh-CN"/>
        </w:rPr>
        <w:t>学校</w:t>
      </w:r>
      <w:r>
        <w:rPr>
          <w:rFonts w:hint="eastAsia" w:ascii="仿宋" w:hAnsi="仿宋" w:eastAsia="仿宋" w:cs="宋体"/>
          <w:color w:val="auto"/>
          <w:kern w:val="0"/>
          <w:sz w:val="32"/>
          <w:szCs w:val="32"/>
          <w:highlight w:val="none"/>
        </w:rPr>
        <w:t>所有教职工均积极参与联防联控志愿活动，每日坚守岗位，为九江市打赢疫情防控阻击战贡献了一份力量，2月至4月间共计参与达400余人次。在暑期汛情紧急之时，积极筹措各项防汛物资，同时组织教职工冒着风雨酷暑等恶劣条件，上堤进行24小时不间断轮班值守，由于</w:t>
      </w:r>
      <w:r>
        <w:rPr>
          <w:rFonts w:hint="eastAsia" w:ascii="仿宋" w:hAnsi="仿宋" w:eastAsia="仿宋" w:cs="宋体"/>
          <w:color w:val="auto"/>
          <w:kern w:val="0"/>
          <w:sz w:val="32"/>
          <w:szCs w:val="32"/>
          <w:highlight w:val="none"/>
          <w:lang w:eastAsia="zh-CN"/>
        </w:rPr>
        <w:t>学校</w:t>
      </w:r>
      <w:r>
        <w:rPr>
          <w:rFonts w:hint="eastAsia" w:ascii="仿宋" w:hAnsi="仿宋" w:eastAsia="仿宋" w:cs="宋体"/>
          <w:color w:val="auto"/>
          <w:kern w:val="0"/>
          <w:sz w:val="32"/>
          <w:szCs w:val="32"/>
          <w:highlight w:val="none"/>
        </w:rPr>
        <w:t>人员不足，校领导平均1.5天就上堤值守一次，普通教师也要每3天左右值守一次。为助力全市“三城同创”工作，今年以来共发动志愿者参与环境整治、交通劝导等活动共计约320余人次。</w:t>
      </w:r>
    </w:p>
    <w:p>
      <w:pPr>
        <w:pStyle w:val="3"/>
        <w:keepNext w:val="0"/>
        <w:keepLines w:val="0"/>
        <w:pageBreakBefore w:val="0"/>
        <w:kinsoku/>
        <w:wordWrap/>
        <w:overflowPunct/>
        <w:topLinePunct w:val="0"/>
        <w:autoSpaceDE/>
        <w:autoSpaceDN/>
        <w:bidi w:val="0"/>
        <w:spacing w:after="0" w:line="576" w:lineRule="exact"/>
        <w:ind w:firstLine="640" w:firstLineChars="20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（三）学校资源面向校内、社会开放服务情况</w:t>
      </w:r>
    </w:p>
    <w:p>
      <w:pPr>
        <w:pStyle w:val="3"/>
        <w:keepNext w:val="0"/>
        <w:keepLines w:val="0"/>
        <w:pageBreakBefore w:val="0"/>
        <w:kinsoku/>
        <w:wordWrap/>
        <w:overflowPunct/>
        <w:topLinePunct w:val="0"/>
        <w:autoSpaceDE/>
        <w:autoSpaceDN/>
        <w:bidi w:val="0"/>
        <w:spacing w:after="0" w:line="576" w:lineRule="exact"/>
        <w:ind w:firstLine="640" w:firstLineChars="200"/>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学校设有校内图书馆，有电子阅览室，方面学校教职工利用相关学习资源。学校与所在社区黄土岭社区共建村民书屋，地点设在</w:t>
      </w:r>
      <w:r>
        <w:rPr>
          <w:rFonts w:hint="eastAsia" w:ascii="仿宋" w:hAnsi="仿宋" w:eastAsia="仿宋" w:cs="宋体"/>
          <w:color w:val="auto"/>
          <w:kern w:val="0"/>
          <w:sz w:val="32"/>
          <w:szCs w:val="32"/>
          <w:highlight w:val="none"/>
          <w:lang w:eastAsia="zh-CN"/>
        </w:rPr>
        <w:t>学校</w:t>
      </w:r>
      <w:r>
        <w:rPr>
          <w:rFonts w:hint="eastAsia" w:ascii="仿宋" w:hAnsi="仿宋" w:eastAsia="仿宋" w:cs="宋体"/>
          <w:color w:val="auto"/>
          <w:kern w:val="0"/>
          <w:sz w:val="32"/>
          <w:szCs w:val="32"/>
          <w:highlight w:val="none"/>
        </w:rPr>
        <w:t>，向社区居民开放。</w:t>
      </w:r>
    </w:p>
    <w:p>
      <w:pPr>
        <w:pStyle w:val="3"/>
        <w:keepNext w:val="0"/>
        <w:keepLines w:val="0"/>
        <w:pageBreakBefore w:val="0"/>
        <w:widowControl w:val="0"/>
        <w:numPr>
          <w:ilvl w:val="0"/>
          <w:numId w:val="3"/>
        </w:numPr>
        <w:kinsoku/>
        <w:wordWrap/>
        <w:overflowPunct/>
        <w:topLinePunct w:val="0"/>
        <w:autoSpaceDE/>
        <w:autoSpaceDN/>
        <w:bidi w:val="0"/>
        <w:adjustRightInd/>
        <w:snapToGrid/>
        <w:spacing w:after="0" w:line="576" w:lineRule="exact"/>
        <w:ind w:firstLine="640" w:firstLineChars="200"/>
        <w:jc w:val="both"/>
        <w:textAlignment w:val="auto"/>
        <w:outlineLvl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年度办学业务考评</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default" w:ascii="黑体" w:hAnsi="黑体" w:eastAsia="黑体" w:cs="黑体"/>
          <w:color w:val="auto"/>
          <w:sz w:val="32"/>
          <w:szCs w:val="32"/>
          <w:highlight w:val="none"/>
          <w:lang w:val="en-US" w:eastAsia="zh-CN"/>
        </w:rPr>
      </w:pPr>
      <w:r>
        <w:rPr>
          <w:rFonts w:hint="eastAsia" w:ascii="仿宋" w:hAnsi="仿宋" w:eastAsia="仿宋" w:cs="仿宋"/>
          <w:color w:val="auto"/>
          <w:kern w:val="0"/>
          <w:sz w:val="28"/>
          <w:szCs w:val="28"/>
          <w:highlight w:val="none"/>
          <w:lang w:val="en-US" w:eastAsia="zh-CN"/>
        </w:rPr>
        <w:t>表6 2020年度办学业务考评项目得分与排名</w:t>
      </w:r>
    </w:p>
    <w:tbl>
      <w:tblPr>
        <w:tblStyle w:val="5"/>
        <w:tblW w:w="7680" w:type="dxa"/>
        <w:jc w:val="center"/>
        <w:shd w:val="clear" w:color="auto" w:fill="auto"/>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shd w:val="clear" w:color="auto" w:fill="auto"/>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办学定位和</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影响  </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体系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建设</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工作</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思政教育与学生管理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教学资源建设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教学过程管理   22分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教务管理16分</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18.5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r>
    </w:tbl>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p>
    <w:tbl>
      <w:tblPr>
        <w:tblStyle w:val="5"/>
        <w:tblW w:w="7680" w:type="dxa"/>
        <w:jc w:val="center"/>
        <w:shd w:val="clear" w:color="auto" w:fill="auto"/>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教育教学经费管理 </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科学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研究</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3分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非学历  教育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信息化  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奖励加分最高累计</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惩处</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扣分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业务考核总计</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77.4</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r>
    </w:tbl>
    <w:p>
      <w:pPr>
        <w:pStyle w:val="3"/>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rPr>
        <w:t>七、</w:t>
      </w:r>
      <w:r>
        <w:rPr>
          <w:rFonts w:hint="eastAsia" w:ascii="黑体" w:hAnsi="黑体" w:eastAsia="黑体" w:cs="黑体"/>
          <w:color w:val="auto"/>
          <w:sz w:val="32"/>
          <w:szCs w:val="32"/>
          <w:highlight w:val="none"/>
          <w:lang w:eastAsia="zh-CN"/>
        </w:rPr>
        <w:t>存在的</w:t>
      </w:r>
      <w:r>
        <w:rPr>
          <w:rFonts w:hint="eastAsia" w:ascii="黑体" w:hAnsi="黑体" w:eastAsia="黑体" w:cs="黑体"/>
          <w:color w:val="auto"/>
          <w:sz w:val="32"/>
          <w:szCs w:val="32"/>
          <w:highlight w:val="none"/>
        </w:rPr>
        <w:t>问题</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1.专业发展不均衡，管理有难度。近两年存在专业多样、专业人数参差不齐的情况，有的专业人数很少，甚至一个人一个班。</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2.教材征订存在困难。2018春之后，教材征订方式发生改变，县级教学点的教材自行征订，市校对各县教学点的教材征订工作失去统一管理权限。县级教学点教材征订工作变得松散，征订率下滑得比较厉害。校本部招生80%的生源都是靠学生带学生，学生之间的关系多是兄弟、姐妹、朋友、同事，在教材征订上有</w:t>
      </w:r>
      <w:r>
        <w:rPr>
          <w:rFonts w:hint="eastAsia" w:ascii="仿宋" w:hAnsi="仿宋" w:eastAsia="仿宋" w:cs="仿宋"/>
          <w:bCs/>
          <w:color w:val="auto"/>
          <w:kern w:val="0"/>
          <w:sz w:val="32"/>
          <w:szCs w:val="32"/>
          <w:highlight w:val="none"/>
          <w:lang w:val="en-US" w:eastAsia="zh-CN"/>
        </w:rPr>
        <w:t>较大</w:t>
      </w:r>
      <w:r>
        <w:rPr>
          <w:rFonts w:hint="eastAsia" w:ascii="仿宋" w:hAnsi="仿宋" w:eastAsia="仿宋" w:cs="仿宋"/>
          <w:bCs/>
          <w:color w:val="auto"/>
          <w:kern w:val="0"/>
          <w:sz w:val="32"/>
          <w:szCs w:val="32"/>
          <w:highlight w:val="none"/>
          <w:lang w:val="en-US" w:eastAsia="zh-CN"/>
        </w:rPr>
        <w:t>障碍。</w:t>
      </w:r>
    </w:p>
    <w:p>
      <w:pPr>
        <w:pageBreakBefore w:val="0"/>
        <w:widowControl w:val="0"/>
        <w:kinsoku/>
        <w:wordWrap/>
        <w:overflowPunct/>
        <w:topLinePunct w:val="0"/>
        <w:autoSpaceDE/>
        <w:autoSpaceDN/>
        <w:bidi w:val="0"/>
        <w:adjustRightInd/>
        <w:snapToGrid/>
        <w:spacing w:line="576" w:lineRule="exact"/>
        <w:ind w:firstLine="736" w:firstLineChars="230"/>
        <w:textAlignment w:val="auto"/>
        <w:rPr>
          <w:rFonts w:hint="eastAsia" w:ascii="仿宋" w:hAnsi="仿宋" w:eastAsia="仿宋" w:cs="宋体"/>
          <w:b w:val="0"/>
          <w:bCs w:val="0"/>
          <w:color w:val="auto"/>
          <w:kern w:val="0"/>
          <w:sz w:val="32"/>
          <w:szCs w:val="32"/>
          <w:highlight w:val="none"/>
          <w:lang w:val="en-US" w:eastAsia="zh-CN"/>
        </w:rPr>
      </w:pPr>
      <w:r>
        <w:rPr>
          <w:rFonts w:hint="eastAsia" w:ascii="仿宋" w:hAnsi="仿宋" w:eastAsia="仿宋" w:cs="宋体"/>
          <w:b w:val="0"/>
          <w:bCs w:val="0"/>
          <w:color w:val="auto"/>
          <w:kern w:val="0"/>
          <w:sz w:val="32"/>
          <w:szCs w:val="32"/>
          <w:highlight w:val="none"/>
          <w:lang w:val="en-US" w:eastAsia="zh-CN"/>
        </w:rPr>
        <w:t>3.多个县级教学点办学经费不足，师资力量有欠缺。各县级电大工作站情况差距很大，有的校园基础设施建设、信息化建设比较滞后；有的办学条件有限，没有专属的办公地点。</w:t>
      </w:r>
    </w:p>
    <w:p>
      <w:pPr>
        <w:pageBreakBefore w:val="0"/>
        <w:widowControl w:val="0"/>
        <w:kinsoku/>
        <w:wordWrap/>
        <w:overflowPunct/>
        <w:topLinePunct w:val="0"/>
        <w:autoSpaceDE/>
        <w:autoSpaceDN/>
        <w:bidi w:val="0"/>
        <w:adjustRightInd/>
        <w:snapToGrid/>
        <w:spacing w:line="576" w:lineRule="exact"/>
        <w:ind w:firstLine="736" w:firstLineChars="230"/>
        <w:textAlignment w:val="auto"/>
        <w:rPr>
          <w:rFonts w:hint="default" w:ascii="仿宋" w:hAnsi="仿宋" w:eastAsia="仿宋" w:cs="宋体"/>
          <w:b w:val="0"/>
          <w:bCs w:val="0"/>
          <w:color w:val="auto"/>
          <w:kern w:val="0"/>
          <w:sz w:val="32"/>
          <w:szCs w:val="32"/>
          <w:highlight w:val="none"/>
          <w:lang w:val="en-US" w:eastAsia="zh-CN"/>
        </w:rPr>
      </w:pPr>
      <w:r>
        <w:rPr>
          <w:rFonts w:hint="eastAsia" w:ascii="仿宋" w:hAnsi="仿宋" w:eastAsia="仿宋" w:cs="宋体"/>
          <w:b w:val="0"/>
          <w:bCs w:val="0"/>
          <w:color w:val="auto"/>
          <w:kern w:val="0"/>
          <w:sz w:val="32"/>
          <w:szCs w:val="32"/>
          <w:highlight w:val="none"/>
          <w:lang w:val="en-US" w:eastAsia="zh-CN"/>
        </w:rPr>
        <w:t>4.教师队伍建设有待进一步加强。科研水平和实力还有很多不足。</w:t>
      </w:r>
    </w:p>
    <w:p>
      <w:pPr>
        <w:pStyle w:val="3"/>
        <w:pageBreakBefore w:val="0"/>
        <w:widowControl w:val="0"/>
        <w:kinsoku/>
        <w:wordWrap/>
        <w:overflowPunct/>
        <w:topLinePunct w:val="0"/>
        <w:autoSpaceDE/>
        <w:autoSpaceDN/>
        <w:bidi w:val="0"/>
        <w:adjustRightInd/>
        <w:snapToGrid/>
        <w:spacing w:after="0" w:line="576" w:lineRule="exact"/>
        <w:ind w:firstLine="640" w:firstLineChars="200"/>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八、对策建议</w:t>
      </w:r>
    </w:p>
    <w:p>
      <w:pPr>
        <w:pageBreakBefore w:val="0"/>
        <w:widowControl w:val="0"/>
        <w:kinsoku/>
        <w:wordWrap/>
        <w:overflowPunct/>
        <w:topLinePunct w:val="0"/>
        <w:autoSpaceDE/>
        <w:autoSpaceDN/>
        <w:bidi w:val="0"/>
        <w:adjustRightInd/>
        <w:snapToGrid/>
        <w:spacing w:line="576" w:lineRule="exact"/>
        <w:ind w:firstLine="787" w:firstLineChars="246"/>
        <w:textAlignment w:val="auto"/>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lang w:val="en-US" w:eastAsia="zh-CN"/>
        </w:rPr>
        <w:t>1.</w:t>
      </w:r>
      <w:r>
        <w:rPr>
          <w:rFonts w:hint="eastAsia" w:ascii="仿宋" w:hAnsi="仿宋" w:eastAsia="仿宋" w:cs="宋体"/>
          <w:color w:val="auto"/>
          <w:kern w:val="0"/>
          <w:sz w:val="32"/>
          <w:szCs w:val="32"/>
          <w:highlight w:val="none"/>
        </w:rPr>
        <w:t>严守招生与办学纪律，加强对师生教学活动的督查，加强对考试工作的组织与管理。进一步进行业务培训，规范办学。紧抓教育教学工作不能放松，在现有教学、考试、招生工作管理制度的基础上，不断总结经验，努力提升。</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2.多措并举，合力抓好教材征订工作。全市齐抓共管，将提升教材征订工作落到实处。教学处从教学过程、纸质作业上对学生提出任务布置，增加学生对教材的使用程度。招生办公室从招生角度上要求各个招生老师按学校要求，严格执行征订教材，统一宣传，从源头上抓起教材征订工作。班主任对各自班上的学生做好宣传，提高同学们对教材重要性的认识。学校领导亲自带队到县级</w:t>
      </w:r>
      <w:r>
        <w:rPr>
          <w:rFonts w:hint="eastAsia" w:ascii="仿宋" w:hAnsi="仿宋" w:eastAsia="仿宋" w:cs="仿宋"/>
          <w:bCs/>
          <w:color w:val="auto"/>
          <w:kern w:val="0"/>
          <w:sz w:val="32"/>
          <w:szCs w:val="32"/>
          <w:highlight w:val="none"/>
          <w:lang w:val="en-US" w:eastAsia="zh-CN"/>
        </w:rPr>
        <w:t>教学</w:t>
      </w:r>
      <w:r>
        <w:rPr>
          <w:rFonts w:hint="eastAsia" w:ascii="仿宋" w:hAnsi="仿宋" w:eastAsia="仿宋" w:cs="仿宋"/>
          <w:bCs/>
          <w:color w:val="auto"/>
          <w:kern w:val="0"/>
          <w:sz w:val="32"/>
          <w:szCs w:val="32"/>
          <w:highlight w:val="none"/>
          <w:lang w:val="en-US" w:eastAsia="zh-CN"/>
        </w:rPr>
        <w:t>点了解情况，落实教材工作。</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3.整合资源，完善管理，进一步提高工作效率。进一步推广同学APP手机端的使用。通过学校网站的宣传，班主任的推广，让更多的学生参与使用同学APP软件，进行课程学习、完成统设课形成性作业、接收班主任通知等，实现电大学员的“随时、随地、随身”多元化学习方式。</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4.积极鼓励教师参与科研，对发表论文和主持、参与课题按照学校制度给予相应的支持。对教师就专业素养和教学能力方面进行更多的教育培训，提高教师队伍水平。</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default" w:ascii="仿宋" w:hAnsi="仿宋" w:eastAsia="仿宋" w:cs="仿宋"/>
          <w:bCs/>
          <w:color w:val="auto"/>
          <w:kern w:val="0"/>
          <w:sz w:val="32"/>
          <w:szCs w:val="32"/>
          <w:highlight w:val="none"/>
          <w:lang w:val="en-US" w:eastAsia="zh-CN"/>
        </w:rPr>
      </w:pPr>
      <w:r>
        <w:rPr>
          <w:rFonts w:hint="eastAsia" w:ascii="仿宋" w:hAnsi="仿宋" w:eastAsia="仿宋" w:cs="仿宋"/>
          <w:bCs/>
          <w:color w:val="auto"/>
          <w:kern w:val="0"/>
          <w:sz w:val="32"/>
          <w:szCs w:val="32"/>
          <w:highlight w:val="none"/>
          <w:lang w:val="en-US" w:eastAsia="zh-CN"/>
        </w:rPr>
        <w:t>5.加强学生管理，提高专升本比例，进一步完善教学条件。完善</w:t>
      </w:r>
      <w:r>
        <w:rPr>
          <w:rFonts w:hint="eastAsia" w:ascii="仿宋" w:hAnsi="仿宋" w:eastAsia="仿宋" w:cs="仿宋"/>
          <w:bCs/>
          <w:color w:val="auto"/>
          <w:kern w:val="0"/>
          <w:sz w:val="32"/>
          <w:szCs w:val="32"/>
          <w:highlight w:val="none"/>
          <w:lang w:val="en-US" w:eastAsia="zh-CN"/>
        </w:rPr>
        <w:t>班主任</w:t>
      </w:r>
      <w:r>
        <w:rPr>
          <w:rFonts w:hint="eastAsia" w:ascii="仿宋" w:hAnsi="仿宋" w:eastAsia="仿宋" w:cs="仿宋"/>
          <w:bCs/>
          <w:color w:val="auto"/>
          <w:kern w:val="0"/>
          <w:sz w:val="32"/>
          <w:szCs w:val="32"/>
          <w:highlight w:val="none"/>
          <w:lang w:val="en-US" w:eastAsia="zh-CN"/>
        </w:rPr>
        <w:t>管理制度，强化细节管理，提高服务水平。</w:t>
      </w:r>
    </w:p>
    <w:p>
      <w:pPr>
        <w:pageBreakBefore w:val="0"/>
        <w:widowControl w:val="0"/>
        <w:kinsoku/>
        <w:wordWrap/>
        <w:overflowPunct/>
        <w:topLinePunct w:val="0"/>
        <w:autoSpaceDE/>
        <w:autoSpaceDN/>
        <w:bidi w:val="0"/>
        <w:adjustRightInd/>
        <w:snapToGrid/>
        <w:spacing w:line="576" w:lineRule="exact"/>
        <w:ind w:firstLine="736" w:firstLineChars="230"/>
        <w:textAlignment w:val="auto"/>
        <w:rPr>
          <w:color w:val="auto"/>
          <w:highlight w:val="none"/>
        </w:rPr>
      </w:pPr>
      <w:r>
        <w:rPr>
          <w:rFonts w:hint="eastAsia" w:ascii="仿宋" w:hAnsi="仿宋" w:eastAsia="仿宋" w:cs="宋体"/>
          <w:color w:val="auto"/>
          <w:kern w:val="0"/>
          <w:sz w:val="32"/>
          <w:szCs w:val="32"/>
          <w:highlight w:val="none"/>
          <w:lang w:val="en-US" w:eastAsia="zh-CN"/>
        </w:rPr>
        <w:t>6.</w:t>
      </w:r>
      <w:r>
        <w:rPr>
          <w:rFonts w:hint="eastAsia" w:ascii="仿宋" w:hAnsi="仿宋" w:eastAsia="仿宋" w:cs="宋体"/>
          <w:color w:val="auto"/>
          <w:kern w:val="0"/>
          <w:sz w:val="32"/>
          <w:szCs w:val="32"/>
          <w:highlight w:val="none"/>
        </w:rPr>
        <w:t>进一步认清形势，确保招生工作和高职教育稳中有进。进一步发挥系统优势，开创教育新局面。进一步把握机遇，抓好全市师训教育，助力社区教育发展。</w:t>
      </w:r>
    </w:p>
    <w:p>
      <w:pPr>
        <w:pStyle w:val="2"/>
        <w:spacing w:line="560" w:lineRule="exact"/>
        <w:rPr>
          <w:rFonts w:ascii="仿宋" w:hAnsi="仿宋" w:eastAsia="仿宋" w:cs="宋体"/>
          <w:b w:val="0"/>
          <w:color w:val="auto"/>
          <w:kern w:val="0"/>
          <w:szCs w:val="32"/>
          <w:highlight w:val="none"/>
        </w:rPr>
      </w:pPr>
    </w:p>
    <w:p>
      <w:pPr>
        <w:spacing w:line="560" w:lineRule="exact"/>
        <w:rPr>
          <w:color w:val="auto"/>
          <w:highlight w:val="none"/>
        </w:rPr>
      </w:pPr>
    </w:p>
    <w:p>
      <w:pPr>
        <w:spacing w:line="560" w:lineRule="exact"/>
        <w:rPr>
          <w:color w:val="auto"/>
          <w:highlight w:val="none"/>
        </w:rPr>
      </w:pPr>
    </w:p>
    <w:p>
      <w:pPr>
        <w:rPr>
          <w:color w:val="auto"/>
          <w:highlight w:val="none"/>
        </w:rPr>
      </w:pPr>
    </w:p>
    <w:p>
      <w:pPr>
        <w:rPr>
          <w:color w:val="auto"/>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rPr>
                              <w:sz w:val="28"/>
                              <w:szCs w:val="44"/>
                            </w:rPr>
                          </w:pPr>
                          <w:r>
                            <w:rPr>
                              <w:rFonts w:hint="eastAsia"/>
                              <w:sz w:val="28"/>
                              <w:szCs w:val="44"/>
                            </w:rPr>
                            <w:fldChar w:fldCharType="begin"/>
                          </w:r>
                          <w:r>
                            <w:rPr>
                              <w:rFonts w:hint="eastAsia"/>
                              <w:sz w:val="28"/>
                              <w:szCs w:val="44"/>
                            </w:rPr>
                            <w:instrText xml:space="preserve"> PAGE  \* MERGEFORMAT </w:instrText>
                          </w:r>
                          <w:r>
                            <w:rPr>
                              <w:rFonts w:hint="eastAsia"/>
                              <w:sz w:val="28"/>
                              <w:szCs w:val="44"/>
                            </w:rPr>
                            <w:fldChar w:fldCharType="separate"/>
                          </w:r>
                          <w:r>
                            <w:rPr>
                              <w:sz w:val="28"/>
                              <w:szCs w:val="44"/>
                            </w:rPr>
                            <w:t>- 1 -</w:t>
                          </w:r>
                          <w:r>
                            <w:rPr>
                              <w:rFonts w:hint="eastAsia"/>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4"/>
                      <w:rPr>
                        <w:sz w:val="28"/>
                        <w:szCs w:val="44"/>
                      </w:rPr>
                    </w:pPr>
                    <w:r>
                      <w:rPr>
                        <w:rFonts w:hint="eastAsia"/>
                        <w:sz w:val="28"/>
                        <w:szCs w:val="44"/>
                      </w:rPr>
                      <w:fldChar w:fldCharType="begin"/>
                    </w:r>
                    <w:r>
                      <w:rPr>
                        <w:rFonts w:hint="eastAsia"/>
                        <w:sz w:val="28"/>
                        <w:szCs w:val="44"/>
                      </w:rPr>
                      <w:instrText xml:space="preserve"> PAGE  \* MERGEFORMAT </w:instrText>
                    </w:r>
                    <w:r>
                      <w:rPr>
                        <w:rFonts w:hint="eastAsia"/>
                        <w:sz w:val="28"/>
                        <w:szCs w:val="44"/>
                      </w:rPr>
                      <w:fldChar w:fldCharType="separate"/>
                    </w:r>
                    <w:r>
                      <w:rPr>
                        <w:sz w:val="28"/>
                        <w:szCs w:val="44"/>
                      </w:rPr>
                      <w:t>- 1 -</w:t>
                    </w:r>
                    <w:r>
                      <w:rPr>
                        <w:rFonts w:hint="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9FE34C"/>
    <w:multiLevelType w:val="singleLevel"/>
    <w:tmpl w:val="F09FE34C"/>
    <w:lvl w:ilvl="0" w:tentative="0">
      <w:start w:val="1"/>
      <w:numFmt w:val="chineseCounting"/>
      <w:suff w:val="nothing"/>
      <w:lvlText w:val="（%1）"/>
      <w:lvlJc w:val="left"/>
      <w:pPr>
        <w:ind w:left="0" w:firstLine="420"/>
      </w:pPr>
      <w:rPr>
        <w:rFonts w:hint="eastAsia"/>
      </w:rPr>
    </w:lvl>
  </w:abstractNum>
  <w:abstractNum w:abstractNumId="1">
    <w:nsid w:val="66BF78B8"/>
    <w:multiLevelType w:val="singleLevel"/>
    <w:tmpl w:val="66BF78B8"/>
    <w:lvl w:ilvl="0" w:tentative="0">
      <w:start w:val="1"/>
      <w:numFmt w:val="chineseCounting"/>
      <w:suff w:val="nothing"/>
      <w:lvlText w:val="%1、"/>
      <w:lvlJc w:val="left"/>
      <w:rPr>
        <w:rFonts w:hint="eastAsia"/>
      </w:rPr>
    </w:lvl>
  </w:abstractNum>
  <w:abstractNum w:abstractNumId="2">
    <w:nsid w:val="6EB2AD7A"/>
    <w:multiLevelType w:val="singleLevel"/>
    <w:tmpl w:val="6EB2AD7A"/>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543E8"/>
    <w:rsid w:val="027C775D"/>
    <w:rsid w:val="05055F15"/>
    <w:rsid w:val="076D7EE5"/>
    <w:rsid w:val="118C6B23"/>
    <w:rsid w:val="13371DC7"/>
    <w:rsid w:val="158B4D77"/>
    <w:rsid w:val="1D633661"/>
    <w:rsid w:val="200E163B"/>
    <w:rsid w:val="21BF6EEF"/>
    <w:rsid w:val="242A2375"/>
    <w:rsid w:val="262B68B8"/>
    <w:rsid w:val="2D475CE1"/>
    <w:rsid w:val="2E7B1AD9"/>
    <w:rsid w:val="34820127"/>
    <w:rsid w:val="38F543E8"/>
    <w:rsid w:val="3A6E1A45"/>
    <w:rsid w:val="3C653197"/>
    <w:rsid w:val="3F125F89"/>
    <w:rsid w:val="433564AF"/>
    <w:rsid w:val="48942887"/>
    <w:rsid w:val="4EF110E3"/>
    <w:rsid w:val="4F856DCB"/>
    <w:rsid w:val="54CC1960"/>
    <w:rsid w:val="5527041C"/>
    <w:rsid w:val="55FA0290"/>
    <w:rsid w:val="56DE5D2C"/>
    <w:rsid w:val="5D9D0BDF"/>
    <w:rsid w:val="5DD751C6"/>
    <w:rsid w:val="5EDE3C99"/>
    <w:rsid w:val="600C5479"/>
    <w:rsid w:val="602A6D2F"/>
    <w:rsid w:val="612F5565"/>
    <w:rsid w:val="61DC6AF0"/>
    <w:rsid w:val="639D2C85"/>
    <w:rsid w:val="66E52BEE"/>
    <w:rsid w:val="70230773"/>
    <w:rsid w:val="739A40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3" w:lineRule="auto"/>
      <w:outlineLvl w:val="2"/>
    </w:pPr>
    <w:rPr>
      <w:b/>
      <w:sz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spacing w:after="120"/>
    </w:p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16"/>
    <w:qFormat/>
    <w:uiPriority w:val="0"/>
    <w:rPr>
      <w:rFonts w:hint="default" w:ascii="Times New Roman" w:hAnsi="Times New Roman" w:cs="Times New Roman"/>
    </w:rPr>
  </w:style>
  <w:style w:type="paragraph" w:styleId="9">
    <w:name w:val="List Paragraph"/>
    <w:basedOn w:val="1"/>
    <w:qFormat/>
    <w:uiPriority w:val="99"/>
    <w:pPr>
      <w:ind w:firstLine="420" w:firstLineChars="200"/>
    </w:pPr>
  </w:style>
  <w:style w:type="paragraph" w:customStyle="1" w:styleId="10">
    <w:name w:val="列出段落"/>
    <w:basedOn w:val="1"/>
    <w:qFormat/>
    <w:uiPriority w:val="0"/>
    <w:pPr>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2021-03-30T06:52:00Z</dcterms:created>
  <dc:creator>青</dc:creator>
  <cp:lastModifiedBy>青</cp:lastModifiedBy>
  <cp:lastPrinted>2021-04-22T02:33:11Z</cp:lastPrinted>
  <dcterms:modified xsi:type="dcterms:W3CDTF">2021-04-22T03:05:48Z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y fmtid="{D5CDD505-2E9C-101B-9397-08002B2CF9AE}" pid="3" name="ICV">
    <vt:lpwstr>8788DC762D1A4844984D7F044BC693AF</vt:lpwstr>
  </property>
</Properties>
</file>